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CB021" w14:textId="77777777" w:rsidR="00E30BBE" w:rsidRDefault="004C523B">
      <w:r>
        <w:t>Dan Soule</w:t>
      </w:r>
    </w:p>
    <w:p w14:paraId="120DB1F1" w14:textId="77777777" w:rsidR="004C523B" w:rsidRDefault="004C523B">
      <w:r>
        <w:t>VP Product Management</w:t>
      </w:r>
      <w:r w:rsidR="00EE0EEE">
        <w:t xml:space="preserve">, </w:t>
      </w:r>
      <w:r>
        <w:t>Health Catalyst</w:t>
      </w:r>
    </w:p>
    <w:p w14:paraId="327016C2" w14:textId="77777777" w:rsidR="004C523B" w:rsidRDefault="00C327FB">
      <w:hyperlink r:id="rId5" w:history="1">
        <w:r w:rsidR="004C523B" w:rsidRPr="009975DA">
          <w:rPr>
            <w:rStyle w:val="Hyperlink"/>
          </w:rPr>
          <w:t>Dan.soule@healthCatalyst.com</w:t>
        </w:r>
      </w:hyperlink>
    </w:p>
    <w:p w14:paraId="1125F0C3" w14:textId="77777777" w:rsidR="004C523B" w:rsidRDefault="004C523B"/>
    <w:p w14:paraId="77922BF9" w14:textId="77777777" w:rsidR="00EE0EEE" w:rsidRDefault="00EE0EEE" w:rsidP="00EE0EEE">
      <w:pPr>
        <w:pStyle w:val="Title"/>
      </w:pPr>
      <w:r>
        <w:t>The Case for Workflow Interoperability</w:t>
      </w:r>
    </w:p>
    <w:p w14:paraId="3DADE612" w14:textId="77777777" w:rsidR="00EE0EEE" w:rsidRDefault="00EE0EEE"/>
    <w:p w14:paraId="536008B2" w14:textId="14F04D01" w:rsidR="004C523B" w:rsidRDefault="004C523B">
      <w:r>
        <w:t>Health Catalyst is an analytics and interoperability (HIE) company focused on improving the outcomes (cost, quality</w:t>
      </w:r>
      <w:r w:rsidR="005A0666">
        <w:t>,</w:t>
      </w:r>
      <w:r>
        <w:t xml:space="preserve"> and satisfaction) of defined populations. As I read this draft and reflected on our work with care providers in all settings of care, I would like to make the following observations and comments.</w:t>
      </w:r>
    </w:p>
    <w:p w14:paraId="263A6B6F" w14:textId="77777777" w:rsidR="004C523B" w:rsidRPr="00EE0EEE" w:rsidRDefault="004C523B">
      <w:pPr>
        <w:rPr>
          <w:b/>
        </w:rPr>
      </w:pPr>
      <w:r w:rsidRPr="00EE0EEE">
        <w:rPr>
          <w:b/>
        </w:rPr>
        <w:t xml:space="preserve">Content Harmonization </w:t>
      </w:r>
    </w:p>
    <w:p w14:paraId="2A3841D7" w14:textId="118D0396" w:rsidR="004C523B" w:rsidRDefault="005C513F">
      <w:r>
        <w:t>T</w:t>
      </w:r>
      <w:r w:rsidR="004C523B">
        <w:t xml:space="preserve">his section of the draft </w:t>
      </w:r>
      <w:r>
        <w:t>reveals that the</w:t>
      </w:r>
      <w:r w:rsidR="004C523B">
        <w:t xml:space="preserve"> focus of this </w:t>
      </w:r>
      <w:r>
        <w:t xml:space="preserve">current </w:t>
      </w:r>
      <w:r w:rsidR="004C523B">
        <w:t>effort and previous ONC HIT efforts ha</w:t>
      </w:r>
      <w:r>
        <w:t>ve</w:t>
      </w:r>
      <w:r w:rsidR="004C523B">
        <w:t xml:space="preserve"> been on data (patient, provider, content, etc.) interoperability and not on </w:t>
      </w:r>
      <w:r w:rsidR="00EE0EEE">
        <w:t xml:space="preserve">process automation or </w:t>
      </w:r>
      <w:r w:rsidR="004C523B">
        <w:t>workflow interoperability.</w:t>
      </w:r>
    </w:p>
    <w:p w14:paraId="4B4297A4" w14:textId="48EAB95E" w:rsidR="00A3711E" w:rsidRDefault="00EE0EEE">
      <w:r>
        <w:t xml:space="preserve">Solutions based on </w:t>
      </w:r>
      <w:r w:rsidR="005A0666">
        <w:t>d</w:t>
      </w:r>
      <w:r>
        <w:t xml:space="preserve">ata </w:t>
      </w:r>
      <w:r w:rsidR="005A0666">
        <w:t>i</w:t>
      </w:r>
      <w:r>
        <w:t xml:space="preserve">nteroperability presume that all data </w:t>
      </w:r>
      <w:proofErr w:type="gramStart"/>
      <w:r>
        <w:t>is</w:t>
      </w:r>
      <w:r w:rsidR="004C523B">
        <w:t xml:space="preserve"> located in</w:t>
      </w:r>
      <w:proofErr w:type="gramEnd"/>
      <w:r w:rsidR="004C523B">
        <w:t xml:space="preserve"> a single system or is harmonized </w:t>
      </w:r>
      <w:r>
        <w:t xml:space="preserve">and available </w:t>
      </w:r>
      <w:r w:rsidR="004C523B">
        <w:t xml:space="preserve">for access by a presumed single system </w:t>
      </w:r>
      <w:r w:rsidR="005A0666">
        <w:t>accessed</w:t>
      </w:r>
      <w:r w:rsidR="004C523B">
        <w:t xml:space="preserve"> by a member of the health care team</w:t>
      </w:r>
      <w:r w:rsidR="005A0666">
        <w:t>,</w:t>
      </w:r>
      <w:r w:rsidR="004C523B">
        <w:t xml:space="preserve"> including and most specifically physicians and other providers at the point of care.  This makes sense </w:t>
      </w:r>
      <w:r w:rsidR="005A0666">
        <w:t>with the flawed perception that</w:t>
      </w:r>
      <w:r w:rsidR="004C523B">
        <w:t xml:space="preserve"> a single system is the only way to improve usability</w:t>
      </w:r>
      <w:r w:rsidR="005A0666">
        <w:t>.</w:t>
      </w:r>
      <w:r w:rsidR="004C523B">
        <w:t xml:space="preserve"> </w:t>
      </w:r>
      <w:r w:rsidR="005A0666">
        <w:t xml:space="preserve">Unfortunately, </w:t>
      </w:r>
      <w:r w:rsidR="004C523B">
        <w:t xml:space="preserve">in the marketplace today, </w:t>
      </w:r>
      <w:r>
        <w:t>EMR suppliers (see below as to</w:t>
      </w:r>
      <w:r w:rsidR="004C523B">
        <w:t xml:space="preserve"> why current systems are not </w:t>
      </w:r>
      <w:r w:rsidR="005A0666">
        <w:t xml:space="preserve">true </w:t>
      </w:r>
      <w:r w:rsidR="004C523B">
        <w:t xml:space="preserve">EHRs) have virtually locked down the user experience with </w:t>
      </w:r>
      <w:r w:rsidR="00A3711E">
        <w:t>claims of proprietary IP and violation</w:t>
      </w:r>
      <w:r w:rsidR="005A0666">
        <w:t>s</w:t>
      </w:r>
      <w:r w:rsidR="00A3711E">
        <w:t xml:space="preserve"> of system warranties and support</w:t>
      </w:r>
      <w:r w:rsidR="005A0666">
        <w:t>, effectively forcing organizations to accept this false pretense</w:t>
      </w:r>
      <w:r w:rsidR="004C523B">
        <w:t xml:space="preserve">.  </w:t>
      </w:r>
    </w:p>
    <w:p w14:paraId="54C053CE" w14:textId="622ACC36" w:rsidR="002708F4" w:rsidRDefault="004C523B">
      <w:r>
        <w:t xml:space="preserve">It is our </w:t>
      </w:r>
      <w:r w:rsidR="002708F4">
        <w:t xml:space="preserve">experience using </w:t>
      </w:r>
      <w:r w:rsidR="00EE0EEE">
        <w:t xml:space="preserve">FHIR and custom code </w:t>
      </w:r>
      <w:r w:rsidR="002708F4">
        <w:t xml:space="preserve">that </w:t>
      </w:r>
      <w:r w:rsidR="009F334D">
        <w:t xml:space="preserve">care </w:t>
      </w:r>
      <w:r w:rsidR="002708F4">
        <w:t xml:space="preserve">provider usability (measured by keyboard or mouse clicks) can be significantly improved by enabling </w:t>
      </w:r>
      <w:r w:rsidR="005A0666">
        <w:t>p</w:t>
      </w:r>
      <w:r w:rsidR="002708F4">
        <w:t xml:space="preserve">rocess </w:t>
      </w:r>
      <w:r w:rsidR="005A0666">
        <w:t>a</w:t>
      </w:r>
      <w:r w:rsidR="002708F4">
        <w:t xml:space="preserve">utomation / </w:t>
      </w:r>
      <w:r w:rsidR="005A0666">
        <w:t>w</w:t>
      </w:r>
      <w:r w:rsidR="002708F4">
        <w:t xml:space="preserve">orkflow </w:t>
      </w:r>
      <w:r w:rsidR="005A0666">
        <w:t>i</w:t>
      </w:r>
      <w:r w:rsidR="002708F4">
        <w:t>nteroperability via the user interface. By enabling different HIT systems to interoperate and exchange data as part of the user interface workflow</w:t>
      </w:r>
      <w:r w:rsidR="005A0666">
        <w:t>,</w:t>
      </w:r>
      <w:r w:rsidR="002708F4">
        <w:t xml:space="preserve"> efficiency and user satisfaction can be greatly improved.  These improvements benefit all us</w:t>
      </w:r>
      <w:r w:rsidR="00A3711E">
        <w:t>ers of HIT system</w:t>
      </w:r>
      <w:r w:rsidR="009F334D">
        <w:t>s</w:t>
      </w:r>
      <w:r w:rsidR="00A3711E">
        <w:t>.  For example:</w:t>
      </w:r>
    </w:p>
    <w:p w14:paraId="715BEEE2" w14:textId="55F073A4" w:rsidR="002708F4" w:rsidRDefault="002708F4" w:rsidP="002D7B9B">
      <w:pPr>
        <w:pStyle w:val="ListParagraph"/>
        <w:numPr>
          <w:ilvl w:val="0"/>
          <w:numId w:val="1"/>
        </w:numPr>
      </w:pPr>
      <w:r>
        <w:t xml:space="preserve">Integrating the Epic EMR with </w:t>
      </w:r>
      <w:r w:rsidR="009F334D">
        <w:t>third-</w:t>
      </w:r>
      <w:r>
        <w:t xml:space="preserve">party </w:t>
      </w:r>
      <w:r w:rsidR="009F334D">
        <w:t>r</w:t>
      </w:r>
      <w:r>
        <w:t xml:space="preserve">evenue </w:t>
      </w:r>
      <w:r w:rsidR="009F334D">
        <w:t>c</w:t>
      </w:r>
      <w:r>
        <w:t xml:space="preserve">ycle analytics at one organization reduced initial </w:t>
      </w:r>
      <w:commentRangeStart w:id="0"/>
      <w:r>
        <w:t>claims denials by $14.99 million per year.</w:t>
      </w:r>
      <w:commentRangeEnd w:id="0"/>
      <w:r w:rsidR="009F334D">
        <w:rPr>
          <w:rStyle w:val="CommentReference"/>
        </w:rPr>
        <w:commentReference w:id="0"/>
      </w:r>
      <w:r w:rsidR="00AC5569">
        <w:t xml:space="preserve">  </w:t>
      </w:r>
      <w:r w:rsidR="002D7B9B" w:rsidRPr="002D7B9B">
        <w:t>https://www.healthcatalyst.com/success_stories/denial-management-multicare</w:t>
      </w:r>
    </w:p>
    <w:p w14:paraId="6EE84744" w14:textId="4955FBCB" w:rsidR="002708F4" w:rsidRDefault="002708F4" w:rsidP="00A3711E">
      <w:pPr>
        <w:pStyle w:val="ListParagraph"/>
        <w:numPr>
          <w:ilvl w:val="0"/>
          <w:numId w:val="1"/>
        </w:numPr>
      </w:pPr>
      <w:r>
        <w:t>Integrating the EMR with a patient registry for predicting COPD Readmissions reduced</w:t>
      </w:r>
      <w:r w:rsidR="009F334D">
        <w:t xml:space="preserve"> one organization’s</w:t>
      </w:r>
      <w:r>
        <w:t xml:space="preserve"> </w:t>
      </w:r>
      <w:r w:rsidR="009F334D">
        <w:t>c</w:t>
      </w:r>
      <w:r>
        <w:t xml:space="preserve">are </w:t>
      </w:r>
      <w:r w:rsidR="009F334D">
        <w:t>m</w:t>
      </w:r>
      <w:r>
        <w:t>anager</w:t>
      </w:r>
      <w:r w:rsidR="009F334D">
        <w:t>s’</w:t>
      </w:r>
      <w:r>
        <w:t xml:space="preserve"> keyboard and mouse interactions from 10 click</w:t>
      </w:r>
      <w:r w:rsidR="00A3711E">
        <w:t>s</w:t>
      </w:r>
      <w:r>
        <w:t xml:space="preserve"> per patient to </w:t>
      </w:r>
      <w:r w:rsidR="009F334D">
        <w:t>four</w:t>
      </w:r>
      <w:r w:rsidR="00A3711E">
        <w:t>.  This may not seem like much but performed hundreds of times a day</w:t>
      </w:r>
      <w:r w:rsidR="009F334D">
        <w:t>, this efficiency</w:t>
      </w:r>
      <w:r w:rsidR="00A3711E">
        <w:t xml:space="preserve"> can add up to significant improvement in care and satisfaction.</w:t>
      </w:r>
    </w:p>
    <w:p w14:paraId="6002DC95" w14:textId="535AFD1B" w:rsidR="00A3711E" w:rsidRDefault="00A3711E" w:rsidP="00A3711E">
      <w:pPr>
        <w:pStyle w:val="ListParagraph"/>
        <w:numPr>
          <w:ilvl w:val="0"/>
          <w:numId w:val="1"/>
        </w:numPr>
      </w:pPr>
      <w:r>
        <w:t>At another organization, the physicians wished to send follow</w:t>
      </w:r>
      <w:r w:rsidR="009F334D">
        <w:t>-</w:t>
      </w:r>
      <w:r>
        <w:t>up letters to patients at risk of diabetes (identified via a predictive model developed using machine learning</w:t>
      </w:r>
      <w:r w:rsidR="009F334D">
        <w:rPr>
          <w:rFonts w:cstheme="minorHAnsi"/>
        </w:rPr>
        <w:t>—</w:t>
      </w:r>
      <w:r w:rsidR="009F334D">
        <w:t xml:space="preserve">a capability </w:t>
      </w:r>
      <w:r>
        <w:t>today</w:t>
      </w:r>
      <w:r w:rsidR="009F334D">
        <w:t>’</w:t>
      </w:r>
      <w:r>
        <w:t xml:space="preserve">s EMRs </w:t>
      </w:r>
      <w:r w:rsidR="009F334D">
        <w:t>lack</w:t>
      </w:r>
      <w:r>
        <w:t>)</w:t>
      </w:r>
      <w:r w:rsidR="009F334D">
        <w:t>.</w:t>
      </w:r>
      <w:r>
        <w:t xml:space="preserve"> </w:t>
      </w:r>
      <w:r w:rsidR="009F334D">
        <w:t>U</w:t>
      </w:r>
      <w:r>
        <w:t xml:space="preserve">sing the EMR system by itself required </w:t>
      </w:r>
      <w:r w:rsidR="009F334D">
        <w:t>five</w:t>
      </w:r>
      <w:r>
        <w:t xml:space="preserve"> clicks per</w:t>
      </w:r>
      <w:r w:rsidR="009F334D">
        <w:t>-</w:t>
      </w:r>
      <w:r>
        <w:t>patient per</w:t>
      </w:r>
      <w:r w:rsidR="009F334D">
        <w:t>-</w:t>
      </w:r>
      <w:r>
        <w:t>letter</w:t>
      </w:r>
      <w:r w:rsidR="009F334D">
        <w:t>;</w:t>
      </w:r>
      <w:r>
        <w:t xml:space="preserve"> for </w:t>
      </w:r>
      <w:r>
        <w:lastRenderedPageBreak/>
        <w:t xml:space="preserve">a cohort of 50 patients this would be 250 clicks.  Using workflow automation techniques, the effort was reduced to </w:t>
      </w:r>
      <w:r w:rsidR="009F334D">
        <w:t>six</w:t>
      </w:r>
      <w:r>
        <w:t xml:space="preserve"> clicks for the</w:t>
      </w:r>
      <w:r w:rsidRPr="00C327FB">
        <w:rPr>
          <w:i/>
        </w:rPr>
        <w:t xml:space="preserve"> entire</w:t>
      </w:r>
      <w:r>
        <w:t xml:space="preserve"> cohort of 50 patients</w:t>
      </w:r>
      <w:r w:rsidR="009F334D">
        <w:rPr>
          <w:rFonts w:cstheme="minorHAnsi"/>
        </w:rPr>
        <w:t>—</w:t>
      </w:r>
      <w:r w:rsidR="009F334D">
        <w:t>a reduction of 244 clicks</w:t>
      </w:r>
      <w:r>
        <w:t>.</w:t>
      </w:r>
    </w:p>
    <w:p w14:paraId="68D53B16" w14:textId="77777777" w:rsidR="00A3711E" w:rsidRDefault="00A3711E"/>
    <w:p w14:paraId="5748979A" w14:textId="0B4D3316" w:rsidR="00A3711E" w:rsidRDefault="00A3711E">
      <w:r>
        <w:t>The HIT and</w:t>
      </w:r>
      <w:r w:rsidR="009F334D">
        <w:t>,</w:t>
      </w:r>
      <w:r>
        <w:t xml:space="preserve"> specifically</w:t>
      </w:r>
      <w:r w:rsidR="009F334D">
        <w:t>,</w:t>
      </w:r>
      <w:r>
        <w:t xml:space="preserve"> the EMR systems of today make </w:t>
      </w:r>
      <w:r w:rsidR="009F334D">
        <w:t xml:space="preserve">creating and enabling </w:t>
      </w:r>
      <w:r>
        <w:t xml:space="preserve">process automation or </w:t>
      </w:r>
      <w:r w:rsidR="009F334D">
        <w:t>w</w:t>
      </w:r>
      <w:r>
        <w:t xml:space="preserve">orkflow </w:t>
      </w:r>
      <w:r w:rsidR="009F334D">
        <w:t>i</w:t>
      </w:r>
      <w:r>
        <w:t xml:space="preserve">nteroperability extremely difficult for </w:t>
      </w:r>
      <w:r w:rsidR="009F334D">
        <w:t>third-</w:t>
      </w:r>
      <w:r w:rsidR="00C327FB">
        <w:t>parties’</w:t>
      </w:r>
      <w:r>
        <w:t xml:space="preserve"> external to the EMR supplier. </w:t>
      </w:r>
      <w:r w:rsidR="009B226D">
        <w:t>HL7 FHIR provides some</w:t>
      </w:r>
      <w:r w:rsidR="00EE0EEE">
        <w:t>,</w:t>
      </w:r>
      <w:r w:rsidR="009B226D">
        <w:t xml:space="preserve"> but not </w:t>
      </w:r>
      <w:r w:rsidR="00EE0EEE">
        <w:t>all</w:t>
      </w:r>
      <w:r w:rsidR="009F334D">
        <w:t>,</w:t>
      </w:r>
      <w:r w:rsidR="009B226D">
        <w:t xml:space="preserve"> technology needed to accomplish </w:t>
      </w:r>
      <w:r w:rsidR="009F334D">
        <w:t>w</w:t>
      </w:r>
      <w:r w:rsidR="009B226D">
        <w:t xml:space="preserve">orkflow </w:t>
      </w:r>
      <w:r w:rsidR="009F334D">
        <w:t>i</w:t>
      </w:r>
      <w:r w:rsidR="009B226D">
        <w:t>nteroperability.  FHIR enables user authentication and access</w:t>
      </w:r>
      <w:r w:rsidR="00EE0EEE">
        <w:t>,</w:t>
      </w:r>
      <w:r w:rsidR="009B226D">
        <w:t xml:space="preserve"> a critical component, but the </w:t>
      </w:r>
      <w:r w:rsidR="009F334D">
        <w:t xml:space="preserve">efficiencies gained </w:t>
      </w:r>
      <w:r w:rsidR="009B226D">
        <w:t xml:space="preserve">are really at the data level not at the workflow level. To accomplish </w:t>
      </w:r>
      <w:r w:rsidR="009F334D">
        <w:t>the successful examples cited above</w:t>
      </w:r>
      <w:r w:rsidR="009B226D">
        <w:t xml:space="preserve"> by simply exchanging data or pushing data into the EMR will would still require extensive changes in the EMR data structures and user interface process flow.</w:t>
      </w:r>
      <w:r>
        <w:t xml:space="preserve"> </w:t>
      </w:r>
    </w:p>
    <w:p w14:paraId="16ECDC45" w14:textId="2998D9B8" w:rsidR="00A3711E" w:rsidRDefault="009B226D">
      <w:r>
        <w:t xml:space="preserve">Health Catalyst believes that </w:t>
      </w:r>
      <w:r w:rsidR="00EE0EEE">
        <w:t xml:space="preserve">a single HIT system for </w:t>
      </w:r>
      <w:commentRangeStart w:id="1"/>
      <w:r w:rsidR="00EE0EEE">
        <w:t xml:space="preserve">a user </w:t>
      </w:r>
      <w:commentRangeEnd w:id="1"/>
      <w:r w:rsidR="005C513F">
        <w:rPr>
          <w:rStyle w:val="CommentReference"/>
        </w:rPr>
        <w:commentReference w:id="1"/>
      </w:r>
      <w:r w:rsidR="00EE0EEE">
        <w:t xml:space="preserve">is </w:t>
      </w:r>
      <w:r w:rsidR="00D45F5A" w:rsidRPr="00C327FB">
        <w:rPr>
          <w:i/>
        </w:rPr>
        <w:t>not</w:t>
      </w:r>
      <w:r w:rsidR="00EE0EEE">
        <w:t xml:space="preserve"> the answer to usability problems</w:t>
      </w:r>
      <w:r w:rsidR="00D45F5A">
        <w:t>.</w:t>
      </w:r>
      <w:r w:rsidR="00EE0EEE">
        <w:t xml:space="preserve"> </w:t>
      </w:r>
      <w:r w:rsidR="00D45F5A">
        <w:t xml:space="preserve">Rather, </w:t>
      </w:r>
      <w:r>
        <w:t>integration of multiple HIT systems</w:t>
      </w:r>
      <w:r w:rsidR="00D45F5A">
        <w:t xml:space="preserve"> is critical for addressing these issues. This approach</w:t>
      </w:r>
      <w:r>
        <w:t xml:space="preserve"> </w:t>
      </w:r>
      <w:r w:rsidR="00EE0EEE">
        <w:t xml:space="preserve">is </w:t>
      </w:r>
      <w:r>
        <w:t xml:space="preserve">not only </w:t>
      </w:r>
      <w:proofErr w:type="gramStart"/>
      <w:r>
        <w:t>is</w:t>
      </w:r>
      <w:proofErr w:type="gramEnd"/>
      <w:r>
        <w:t xml:space="preserve"> less costly than a monolithic EMR, but </w:t>
      </w:r>
      <w:r w:rsidR="00D45F5A">
        <w:t xml:space="preserve">it </w:t>
      </w:r>
      <w:r>
        <w:t>is faster to implement</w:t>
      </w:r>
      <w:r w:rsidR="00D45F5A">
        <w:t xml:space="preserve"> and</w:t>
      </w:r>
      <w:r>
        <w:t xml:space="preserve"> evolve</w:t>
      </w:r>
      <w:r w:rsidR="00D45F5A">
        <w:t>,</w:t>
      </w:r>
      <w:r>
        <w:t xml:space="preserve"> and </w:t>
      </w:r>
      <w:r w:rsidR="00D45F5A">
        <w:t xml:space="preserve">it </w:t>
      </w:r>
      <w:r>
        <w:t>enables greater innovation in the areas of clinical analytics at the point of decision making</w:t>
      </w:r>
      <w:r w:rsidR="00EE0EEE">
        <w:t xml:space="preserve"> </w:t>
      </w:r>
      <w:r w:rsidR="00D45F5A">
        <w:t>through</w:t>
      </w:r>
      <w:r>
        <w:t xml:space="preserve"> machine learning, artificial intelligence</w:t>
      </w:r>
      <w:r w:rsidR="00D45F5A">
        <w:t>,</w:t>
      </w:r>
      <w:r>
        <w:t xml:space="preserve"> and other advanced analytic capabilities.</w:t>
      </w:r>
    </w:p>
    <w:p w14:paraId="17CAF712" w14:textId="77777777" w:rsidR="009B226D" w:rsidRDefault="009B226D"/>
    <w:p w14:paraId="60752343" w14:textId="67E5255C" w:rsidR="009B226D" w:rsidRPr="003672DA" w:rsidRDefault="009B226D">
      <w:pPr>
        <w:rPr>
          <w:b/>
        </w:rPr>
      </w:pPr>
      <w:r w:rsidRPr="003672DA">
        <w:rPr>
          <w:b/>
        </w:rPr>
        <w:t xml:space="preserve">Comment </w:t>
      </w:r>
      <w:r w:rsidR="00D45F5A">
        <w:rPr>
          <w:b/>
        </w:rPr>
        <w:t>R</w:t>
      </w:r>
      <w:r w:rsidRPr="003672DA">
        <w:rPr>
          <w:b/>
        </w:rPr>
        <w:t>egarding EMR versus EHR</w:t>
      </w:r>
    </w:p>
    <w:p w14:paraId="08D6A440" w14:textId="03A0F4C1" w:rsidR="009B226D" w:rsidRDefault="009B226D">
      <w:r>
        <w:t xml:space="preserve">An Electronic Health Record (EHR) in concept should contain </w:t>
      </w:r>
      <w:r w:rsidR="00D45F5A">
        <w:t>complete</w:t>
      </w:r>
      <w:r>
        <w:t xml:space="preserve"> information about a patient</w:t>
      </w:r>
      <w:r w:rsidR="00C327FB">
        <w:t xml:space="preserve"> </w:t>
      </w:r>
      <w:r w:rsidR="00D45F5A">
        <w:t>(</w:t>
      </w:r>
      <w:r>
        <w:t>medical, behavioral, mental, wellness, etc.</w:t>
      </w:r>
      <w:r w:rsidR="00D45F5A">
        <w:t>). This requires</w:t>
      </w:r>
      <w:r>
        <w:t xml:space="preserve"> data from across the </w:t>
      </w:r>
      <w:r w:rsidR="003672DA">
        <w:t>entire patient</w:t>
      </w:r>
      <w:r w:rsidR="00D45F5A">
        <w:t>-</w:t>
      </w:r>
      <w:r w:rsidR="003672DA">
        <w:t>specific continuum of care.</w:t>
      </w:r>
      <w:r>
        <w:t xml:space="preserve"> </w:t>
      </w:r>
      <w:r w:rsidR="003672DA">
        <w:t xml:space="preserve"> </w:t>
      </w:r>
      <w:r w:rsidR="00D45F5A">
        <w:t>This true EHR</w:t>
      </w:r>
      <w:r w:rsidR="003672DA">
        <w:t xml:space="preserve"> system</w:t>
      </w:r>
      <w:r w:rsidR="00D45F5A">
        <w:t xml:space="preserve"> does not</w:t>
      </w:r>
      <w:r w:rsidR="003672DA">
        <w:t xml:space="preserve"> exist today in the United States. The HIT system</w:t>
      </w:r>
      <w:r w:rsidR="00D45F5A">
        <w:t>s</w:t>
      </w:r>
      <w:r w:rsidR="003672DA">
        <w:t xml:space="preserve"> sold as EHRs are </w:t>
      </w:r>
      <w:proofErr w:type="gramStart"/>
      <w:r w:rsidR="003672DA">
        <w:t xml:space="preserve">actually </w:t>
      </w:r>
      <w:bookmarkStart w:id="2" w:name="_GoBack"/>
      <w:bookmarkEnd w:id="2"/>
      <w:r w:rsidR="003672DA">
        <w:t>Electronic</w:t>
      </w:r>
      <w:proofErr w:type="gramEnd"/>
      <w:r w:rsidR="003672DA">
        <w:t xml:space="preserve"> Medical Records (EMRs), typically for a single care organization and</w:t>
      </w:r>
      <w:r w:rsidR="00D45F5A">
        <w:t>,</w:t>
      </w:r>
      <w:r w:rsidR="003672DA">
        <w:t xml:space="preserve"> at best</w:t>
      </w:r>
      <w:r w:rsidR="00D45F5A">
        <w:t>,</w:t>
      </w:r>
      <w:r w:rsidR="003672DA">
        <w:t xml:space="preserve"> a few connected points of medical care (generally not behavioral or wellness) in a given geographic area. This is a connected medical record (EMR)</w:t>
      </w:r>
      <w:r w:rsidR="00D45F5A">
        <w:t>,</w:t>
      </w:r>
      <w:r w:rsidR="003672DA">
        <w:t xml:space="preserve"> not a health record</w:t>
      </w:r>
      <w:r w:rsidR="00493181">
        <w:t xml:space="preserve"> (EHR)</w:t>
      </w:r>
      <w:r w:rsidR="003672DA">
        <w:t xml:space="preserve"> as promoted. To truly be an EHR</w:t>
      </w:r>
      <w:r w:rsidR="00D45F5A">
        <w:t>,</w:t>
      </w:r>
      <w:r w:rsidR="003672DA">
        <w:t xml:space="preserve"> the HIT system must be able to combine data from a large number and type of sources </w:t>
      </w:r>
      <w:r w:rsidR="00D45F5A">
        <w:t>beyond</w:t>
      </w:r>
      <w:r w:rsidR="003672DA">
        <w:t xml:space="preserve"> clinical</w:t>
      </w:r>
      <w:r w:rsidR="00D45F5A">
        <w:t xml:space="preserve"> and </w:t>
      </w:r>
      <w:r w:rsidR="003672DA">
        <w:t>medical encounter data. The digital patient eco-system should</w:t>
      </w:r>
      <w:r w:rsidR="00D45F5A">
        <w:t xml:space="preserve"> also</w:t>
      </w:r>
      <w:r w:rsidR="003672DA">
        <w:t xml:space="preserve"> include: claims, genomics, genetics, patient</w:t>
      </w:r>
      <w:r w:rsidR="00D45F5A">
        <w:t>-</w:t>
      </w:r>
      <w:r w:rsidR="003672DA">
        <w:t xml:space="preserve">reported outcomes, 7x24 biometrics, </w:t>
      </w:r>
      <w:commentRangeStart w:id="3"/>
      <w:r w:rsidR="003672DA">
        <w:t>consumer</w:t>
      </w:r>
      <w:commentRangeEnd w:id="3"/>
      <w:r w:rsidR="00D45F5A">
        <w:rPr>
          <w:rStyle w:val="CommentReference"/>
        </w:rPr>
        <w:commentReference w:id="3"/>
      </w:r>
      <w:r w:rsidR="002D7B9B">
        <w:t xml:space="preserve"> wearables</w:t>
      </w:r>
      <w:r w:rsidR="00D45F5A">
        <w:t>,</w:t>
      </w:r>
      <w:r w:rsidR="003672DA">
        <w:t xml:space="preserve"> and social data. </w:t>
      </w:r>
      <w:r w:rsidR="00D45F5A">
        <w:t>M</w:t>
      </w:r>
      <w:r w:rsidR="003672DA">
        <w:t>ost clinicians</w:t>
      </w:r>
      <w:r w:rsidR="00D45F5A">
        <w:t xml:space="preserve"> strongly advocate, and </w:t>
      </w:r>
      <w:commentRangeStart w:id="4"/>
      <w:r w:rsidR="00D45F5A">
        <w:t>studies have borne out</w:t>
      </w:r>
      <w:commentRangeEnd w:id="4"/>
      <w:r w:rsidR="00D45F5A">
        <w:rPr>
          <w:rStyle w:val="CommentReference"/>
        </w:rPr>
        <w:commentReference w:id="4"/>
      </w:r>
      <w:r w:rsidR="002D7B9B">
        <w:t xml:space="preserve"> (</w:t>
      </w:r>
      <w:r w:rsidR="002D7B9B" w:rsidRPr="002D7B9B">
        <w:t>https://nam.edu/social-determinants-of-health-101-for-health-care-five-plus-five/</w:t>
      </w:r>
      <w:r w:rsidR="002D7B9B">
        <w:t>)</w:t>
      </w:r>
      <w:r w:rsidR="00D45F5A">
        <w:t>,</w:t>
      </w:r>
      <w:r w:rsidR="003672DA">
        <w:t xml:space="preserve"> that social determinants of health (</w:t>
      </w:r>
      <w:proofErr w:type="spellStart"/>
      <w:r w:rsidR="003672DA">
        <w:t>SDoH</w:t>
      </w:r>
      <w:proofErr w:type="spellEnd"/>
      <w:r w:rsidR="003672DA">
        <w:t>) have a greater impact on outcomes for chronic diseases than our current</w:t>
      </w:r>
      <w:r w:rsidR="00B44AC5">
        <w:t>, traditional scope of</w:t>
      </w:r>
      <w:r w:rsidR="003672DA">
        <w:t xml:space="preserve"> practice </w:t>
      </w:r>
      <w:r w:rsidR="00B44AC5">
        <w:t>for</w:t>
      </w:r>
      <w:r w:rsidR="003672DA">
        <w:t xml:space="preserve"> medical care.  </w:t>
      </w:r>
      <w:r w:rsidR="005C513F">
        <w:t>True EHRs will be able to use the entire patient picture</w:t>
      </w:r>
      <w:r w:rsidR="00493181">
        <w:t xml:space="preserve">, including </w:t>
      </w:r>
      <w:proofErr w:type="spellStart"/>
      <w:r w:rsidR="00493181">
        <w:t>SDoH</w:t>
      </w:r>
      <w:proofErr w:type="spellEnd"/>
      <w:r w:rsidR="00493181">
        <w:t xml:space="preserve"> data,</w:t>
      </w:r>
      <w:r w:rsidR="005C513F">
        <w:t xml:space="preserve"> to improve outcomes</w:t>
      </w:r>
      <w:r w:rsidR="005C513F">
        <w:rPr>
          <w:rFonts w:cstheme="minorHAnsi"/>
        </w:rPr>
        <w:t>—</w:t>
      </w:r>
      <w:r w:rsidR="005C513F">
        <w:t>a capability out of scope for the currently available EMRs.</w:t>
      </w:r>
    </w:p>
    <w:p w14:paraId="2D67D5BC" w14:textId="77777777" w:rsidR="00A3711E" w:rsidRDefault="00A3711E"/>
    <w:p w14:paraId="037F66C4" w14:textId="77777777" w:rsidR="00A3711E" w:rsidRDefault="00A3711E"/>
    <w:p w14:paraId="49961C08" w14:textId="77777777" w:rsidR="002708F4" w:rsidRDefault="002708F4"/>
    <w:p w14:paraId="1EBE4CE7" w14:textId="77777777" w:rsidR="004C523B" w:rsidRDefault="002708F4">
      <w:r>
        <w:t xml:space="preserve"> </w:t>
      </w:r>
    </w:p>
    <w:sectPr w:rsidR="004C5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rah Neujahr Bryan" w:date="2018-12-12T10:31:00Z" w:initials="TNB">
    <w:p w14:paraId="29690FAA" w14:textId="77777777" w:rsidR="009F334D" w:rsidRDefault="009F334D">
      <w:pPr>
        <w:pStyle w:val="CommentText"/>
      </w:pPr>
      <w:r>
        <w:rPr>
          <w:rStyle w:val="CommentReference"/>
        </w:rPr>
        <w:annotationRef/>
      </w:r>
      <w:r>
        <w:t>What do you think about linking to these case studies or citing them more completely?</w:t>
      </w:r>
    </w:p>
  </w:comment>
  <w:comment w:id="1" w:author="Tarah Neujahr Bryan" w:date="2018-12-12T10:59:00Z" w:initials="TNB">
    <w:p w14:paraId="3D65112B" w14:textId="4C4FB7D2" w:rsidR="005C513F" w:rsidRDefault="005C513F">
      <w:pPr>
        <w:pStyle w:val="CommentText"/>
      </w:pPr>
      <w:r>
        <w:rPr>
          <w:rStyle w:val="CommentReference"/>
        </w:rPr>
        <w:annotationRef/>
      </w:r>
      <w:r>
        <w:t>An organization?</w:t>
      </w:r>
    </w:p>
  </w:comment>
  <w:comment w:id="3" w:author="Tarah Neujahr Bryan" w:date="2018-12-12T10:47:00Z" w:initials="TNB">
    <w:p w14:paraId="3E8AAC73" w14:textId="77777777" w:rsidR="00D45F5A" w:rsidRDefault="00D45F5A">
      <w:pPr>
        <w:pStyle w:val="CommentText"/>
      </w:pPr>
      <w:r>
        <w:rPr>
          <w:rStyle w:val="CommentReference"/>
        </w:rPr>
        <w:annotationRef/>
      </w:r>
      <w:r>
        <w:t>Does this include wearables?</w:t>
      </w:r>
    </w:p>
  </w:comment>
  <w:comment w:id="4" w:author="Tarah Neujahr Bryan" w:date="2018-12-12T10:48:00Z" w:initials="TNB">
    <w:p w14:paraId="69067A63" w14:textId="34C468D0" w:rsidR="00D45F5A" w:rsidRDefault="00D45F5A">
      <w:pPr>
        <w:pStyle w:val="CommentText"/>
      </w:pPr>
      <w:r>
        <w:rPr>
          <w:rStyle w:val="CommentReference"/>
        </w:rPr>
        <w:annotationRef/>
      </w:r>
      <w:r>
        <w:t>We could cite a few to add credibility, if you’d like. Although this fact is pretty well accepted</w:t>
      </w:r>
      <w:r w:rsidR="005C513F">
        <w:t>,</w:t>
      </w:r>
      <w:r>
        <w:t xml:space="preserve"> I think.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690FAA" w15:done="0"/>
  <w15:commentEx w15:paraId="3D65112B" w15:done="1"/>
  <w15:commentEx w15:paraId="3E8AAC73" w15:done="1"/>
  <w15:commentEx w15:paraId="69067A63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690FAA" w16cid:durableId="1FBB6200"/>
  <w16cid:commentId w16cid:paraId="3D65112B" w16cid:durableId="1FBB689F"/>
  <w16cid:commentId w16cid:paraId="3E8AAC73" w16cid:durableId="1FBB65CC"/>
  <w16cid:commentId w16cid:paraId="69067A63" w16cid:durableId="1FBB66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F46E7"/>
    <w:multiLevelType w:val="hybridMultilevel"/>
    <w:tmpl w:val="8990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ah Neujahr Bryan">
    <w15:presenceInfo w15:providerId="AD" w15:userId="S::tarah.neujahr@healthcatalyst.com::6f5743d2-f164-441b-ab79-5085664551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3"/>
    <w:rsid w:val="002708F4"/>
    <w:rsid w:val="002D7B9B"/>
    <w:rsid w:val="00305693"/>
    <w:rsid w:val="003672DA"/>
    <w:rsid w:val="00493181"/>
    <w:rsid w:val="004C523B"/>
    <w:rsid w:val="005A0666"/>
    <w:rsid w:val="005C513F"/>
    <w:rsid w:val="009B226D"/>
    <w:rsid w:val="009F334D"/>
    <w:rsid w:val="00A3711E"/>
    <w:rsid w:val="00AC5569"/>
    <w:rsid w:val="00B44AC5"/>
    <w:rsid w:val="00C327FB"/>
    <w:rsid w:val="00D45F5A"/>
    <w:rsid w:val="00E30BBE"/>
    <w:rsid w:val="00E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64D3"/>
  <w15:chartTrackingRefBased/>
  <w15:docId w15:val="{9DCC83E7-0FD4-4F53-9DC8-5236C7EE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23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3711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0E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9F3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32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mailto:Dan.soule@healthCatalyst.co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Soule</dc:creator>
  <cp:keywords/>
  <dc:description/>
  <cp:lastModifiedBy>Dan Soule</cp:lastModifiedBy>
  <cp:revision>5</cp:revision>
  <dcterms:created xsi:type="dcterms:W3CDTF">2018-12-12T15:50:00Z</dcterms:created>
  <dcterms:modified xsi:type="dcterms:W3CDTF">2018-12-12T16:40:00Z</dcterms:modified>
</cp:coreProperties>
</file>