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34EBA" w14:textId="4741B6C3" w:rsidR="000450B3" w:rsidRPr="005E0CB5" w:rsidRDefault="000450B3">
      <w:pPr>
        <w:rPr>
          <w:rFonts w:ascii="Calibri" w:hAnsi="Calibri" w:cs="Calibri"/>
        </w:rPr>
      </w:pPr>
    </w:p>
    <w:p w14:paraId="2E98A22C" w14:textId="1762655C" w:rsidR="00EB6FFA" w:rsidRPr="005E0CB5" w:rsidRDefault="00EB6FFA">
      <w:pPr>
        <w:rPr>
          <w:rFonts w:ascii="Calibri" w:hAnsi="Calibri" w:cs="Calibri"/>
        </w:rPr>
      </w:pPr>
      <w:r w:rsidRPr="005E0CB5">
        <w:rPr>
          <w:rFonts w:ascii="Calibri" w:hAnsi="Calibri" w:cs="Calibri"/>
        </w:rPr>
        <w:t>January 28, 2019</w:t>
      </w:r>
    </w:p>
    <w:p w14:paraId="5D8531B7" w14:textId="77777777" w:rsidR="00CD3D40" w:rsidRPr="005E0CB5" w:rsidRDefault="000F0CA6">
      <w:pPr>
        <w:rPr>
          <w:rFonts w:ascii="Calibri" w:hAnsi="Calibri" w:cs="Calibri"/>
        </w:rPr>
      </w:pPr>
      <w:r w:rsidRPr="005E0CB5">
        <w:rPr>
          <w:rFonts w:ascii="Calibri" w:hAnsi="Calibri" w:cs="Calibri"/>
        </w:rPr>
        <w:t xml:space="preserve">Dr. Donald Rucker </w:t>
      </w:r>
    </w:p>
    <w:p w14:paraId="48DE546C" w14:textId="77777777" w:rsidR="00CD3D40" w:rsidRPr="005E0CB5" w:rsidRDefault="000F0CA6">
      <w:pPr>
        <w:rPr>
          <w:rFonts w:ascii="Calibri" w:hAnsi="Calibri" w:cs="Calibri"/>
        </w:rPr>
      </w:pPr>
      <w:r w:rsidRPr="005E0CB5">
        <w:rPr>
          <w:rFonts w:ascii="Calibri" w:hAnsi="Calibri" w:cs="Calibri"/>
        </w:rPr>
        <w:t xml:space="preserve">National Coordinator for Health Information Technology </w:t>
      </w:r>
    </w:p>
    <w:p w14:paraId="34D73D2F" w14:textId="2C8D532F" w:rsidR="00EB6FFA" w:rsidRPr="005E0CB5" w:rsidRDefault="000F0CA6">
      <w:pPr>
        <w:rPr>
          <w:rFonts w:ascii="Calibri" w:hAnsi="Calibri" w:cs="Calibri"/>
        </w:rPr>
      </w:pPr>
      <w:r w:rsidRPr="005E0CB5">
        <w:rPr>
          <w:rFonts w:ascii="Calibri" w:hAnsi="Calibri" w:cs="Calibri"/>
        </w:rPr>
        <w:t xml:space="preserve">U.S. Department of Health and Human Services  </w:t>
      </w:r>
    </w:p>
    <w:p w14:paraId="44BD03BF" w14:textId="2585A768" w:rsidR="000F570C" w:rsidRPr="005E0CB5" w:rsidRDefault="000F570C">
      <w:pPr>
        <w:rPr>
          <w:rFonts w:ascii="Calibri" w:hAnsi="Calibri" w:cs="Calibri"/>
        </w:rPr>
      </w:pPr>
    </w:p>
    <w:p w14:paraId="13740891" w14:textId="7AF9D652" w:rsidR="00895CE2" w:rsidRPr="005E0CB5" w:rsidRDefault="00895CE2">
      <w:pPr>
        <w:rPr>
          <w:rFonts w:ascii="Calibri" w:hAnsi="Calibri" w:cs="Calibri"/>
        </w:rPr>
      </w:pPr>
      <w:r w:rsidRPr="005E0CB5">
        <w:rPr>
          <w:rFonts w:ascii="Calibri" w:hAnsi="Calibri" w:cs="Calibri"/>
        </w:rPr>
        <w:t xml:space="preserve">RE: </w:t>
      </w:r>
      <w:r w:rsidR="00B406D2" w:rsidRPr="005E0CB5">
        <w:rPr>
          <w:rFonts w:ascii="Calibri" w:hAnsi="Calibri" w:cs="Calibri"/>
        </w:rPr>
        <w:t>U.S. Department of Health and Human Services (HHS)</w:t>
      </w:r>
      <w:r w:rsidR="009055CC" w:rsidRPr="005E0CB5">
        <w:rPr>
          <w:rFonts w:ascii="Calibri" w:hAnsi="Calibri" w:cs="Calibri"/>
        </w:rPr>
        <w:t>: Request for</w:t>
      </w:r>
      <w:r w:rsidR="00B406D2" w:rsidRPr="005E0CB5">
        <w:rPr>
          <w:rFonts w:ascii="Calibri" w:hAnsi="Calibri" w:cs="Calibri"/>
        </w:rPr>
        <w:t xml:space="preserve"> </w:t>
      </w:r>
      <w:r w:rsidR="00DD6A58" w:rsidRPr="005E0CB5">
        <w:rPr>
          <w:rFonts w:ascii="Calibri" w:hAnsi="Calibri" w:cs="Calibri"/>
        </w:rPr>
        <w:t>public comment</w:t>
      </w:r>
      <w:r w:rsidR="0034151C" w:rsidRPr="005E0CB5">
        <w:rPr>
          <w:rFonts w:ascii="Calibri" w:hAnsi="Calibri" w:cs="Calibri"/>
        </w:rPr>
        <w:t xml:space="preserve"> on the </w:t>
      </w:r>
      <w:bookmarkStart w:id="0" w:name="_Hlk536431118"/>
      <w:r w:rsidR="00B406D2" w:rsidRPr="005E0CB5">
        <w:rPr>
          <w:rFonts w:ascii="Calibri" w:hAnsi="Calibri" w:cs="Calibri"/>
        </w:rPr>
        <w:t xml:space="preserve">draft </w:t>
      </w:r>
      <w:r w:rsidR="0034151C" w:rsidRPr="005E0CB5">
        <w:rPr>
          <w:rFonts w:ascii="Calibri" w:hAnsi="Calibri" w:cs="Calibri"/>
        </w:rPr>
        <w:t>“S</w:t>
      </w:r>
      <w:r w:rsidR="00B406D2" w:rsidRPr="005E0CB5">
        <w:rPr>
          <w:rFonts w:ascii="Calibri" w:hAnsi="Calibri" w:cs="Calibri"/>
        </w:rPr>
        <w:t xml:space="preserve">trategy </w:t>
      </w:r>
      <w:r w:rsidR="0034151C" w:rsidRPr="005E0CB5">
        <w:rPr>
          <w:rFonts w:ascii="Calibri" w:hAnsi="Calibri" w:cs="Calibri"/>
        </w:rPr>
        <w:t>on Reducing Regulatory</w:t>
      </w:r>
      <w:r w:rsidR="00C51F65" w:rsidRPr="005E0CB5">
        <w:rPr>
          <w:rFonts w:ascii="Calibri" w:hAnsi="Calibri" w:cs="Calibri"/>
        </w:rPr>
        <w:t xml:space="preserve"> and Administrative Burden</w:t>
      </w:r>
      <w:r w:rsidR="00B406D2" w:rsidRPr="005E0CB5">
        <w:rPr>
          <w:rFonts w:ascii="Calibri" w:hAnsi="Calibri" w:cs="Calibri"/>
        </w:rPr>
        <w:t xml:space="preserve"> </w:t>
      </w:r>
      <w:r w:rsidR="005105C7" w:rsidRPr="005E0CB5">
        <w:rPr>
          <w:rFonts w:ascii="Calibri" w:hAnsi="Calibri" w:cs="Calibri"/>
        </w:rPr>
        <w:t>Relating to the Use of Health IT and EHRs</w:t>
      </w:r>
      <w:r w:rsidR="009B0761" w:rsidRPr="005E0CB5">
        <w:rPr>
          <w:rFonts w:ascii="Calibri" w:hAnsi="Calibri" w:cs="Calibri"/>
        </w:rPr>
        <w:t xml:space="preserve">” </w:t>
      </w:r>
    </w:p>
    <w:p w14:paraId="5DA00DE9" w14:textId="77777777" w:rsidR="001470D8" w:rsidRPr="005E0CB5" w:rsidRDefault="001470D8">
      <w:pPr>
        <w:rPr>
          <w:rFonts w:ascii="Calibri" w:hAnsi="Calibri" w:cs="Calibri"/>
        </w:rPr>
      </w:pPr>
    </w:p>
    <w:bookmarkEnd w:id="0"/>
    <w:p w14:paraId="46CDBDDB" w14:textId="077697B7" w:rsidR="009B0761" w:rsidRPr="005E0CB5" w:rsidRDefault="00FA6800">
      <w:pPr>
        <w:rPr>
          <w:rFonts w:ascii="Calibri" w:hAnsi="Calibri" w:cs="Calibri"/>
        </w:rPr>
      </w:pPr>
      <w:r w:rsidRPr="005E0CB5">
        <w:rPr>
          <w:rFonts w:ascii="Calibri" w:hAnsi="Calibri" w:cs="Calibri"/>
        </w:rPr>
        <w:t>Dr. Rucker:</w:t>
      </w:r>
    </w:p>
    <w:p w14:paraId="7664131C" w14:textId="7857BDEB" w:rsidR="006E0E70" w:rsidRPr="005E0CB5" w:rsidRDefault="00FA6800" w:rsidP="006E0E70">
      <w:pPr>
        <w:rPr>
          <w:rFonts w:ascii="Calibri" w:hAnsi="Calibri" w:cs="Calibri"/>
        </w:rPr>
      </w:pPr>
      <w:r w:rsidRPr="005E0CB5">
        <w:rPr>
          <w:rFonts w:ascii="Calibri" w:hAnsi="Calibri" w:cs="Calibri"/>
        </w:rPr>
        <w:t>MedInformatix</w:t>
      </w:r>
      <w:r w:rsidR="004F2687" w:rsidRPr="005E0CB5">
        <w:rPr>
          <w:rFonts w:ascii="Calibri" w:hAnsi="Calibri" w:cs="Calibri"/>
        </w:rPr>
        <w:t>, a Health IT innovator</w:t>
      </w:r>
      <w:r w:rsidRPr="005E0CB5">
        <w:rPr>
          <w:rFonts w:ascii="Calibri" w:hAnsi="Calibri" w:cs="Calibri"/>
        </w:rPr>
        <w:t xml:space="preserve"> is pleased to provide comment to the </w:t>
      </w:r>
      <w:r w:rsidR="006E0E70" w:rsidRPr="005E0CB5">
        <w:rPr>
          <w:rFonts w:ascii="Calibri" w:hAnsi="Calibri" w:cs="Calibri"/>
        </w:rPr>
        <w:t>Office of the National Coordinator for Health Information Technology’s (ONC) regarding the draft “Strategy on Reducing Regulatory and Administrative Burden Relating to the Use of Health IT and EHRs</w:t>
      </w:r>
      <w:r w:rsidR="009474CD" w:rsidRPr="005E0CB5">
        <w:rPr>
          <w:rFonts w:ascii="Calibri" w:hAnsi="Calibri" w:cs="Calibri"/>
        </w:rPr>
        <w:t>”</w:t>
      </w:r>
      <w:r w:rsidR="001470D8" w:rsidRPr="005E0CB5">
        <w:rPr>
          <w:rFonts w:ascii="Calibri" w:hAnsi="Calibri" w:cs="Calibri"/>
        </w:rPr>
        <w:t xml:space="preserve"> </w:t>
      </w:r>
      <w:r w:rsidR="009474CD" w:rsidRPr="005E0CB5">
        <w:rPr>
          <w:rFonts w:ascii="Calibri" w:hAnsi="Calibri" w:cs="Calibri"/>
        </w:rPr>
        <w:t>document.</w:t>
      </w:r>
    </w:p>
    <w:p w14:paraId="6BA6ECCB" w14:textId="60B0B804" w:rsidR="00FA6800" w:rsidRPr="005E0CB5" w:rsidRDefault="00FA6800">
      <w:pPr>
        <w:rPr>
          <w:rFonts w:ascii="Calibri" w:hAnsi="Calibri" w:cs="Calibri"/>
        </w:rPr>
      </w:pPr>
    </w:p>
    <w:p w14:paraId="3F0D2A76" w14:textId="2E3C408D" w:rsidR="004332FD" w:rsidRPr="005E0CB5" w:rsidRDefault="004332FD">
      <w:pPr>
        <w:rPr>
          <w:rFonts w:ascii="Calibri" w:hAnsi="Calibri" w:cs="Calibri"/>
        </w:rPr>
      </w:pPr>
      <w:r w:rsidRPr="005E0CB5">
        <w:rPr>
          <w:rFonts w:ascii="Calibri" w:hAnsi="Calibri" w:cs="Calibri"/>
        </w:rPr>
        <w:t xml:space="preserve">MedInformatix is a pioneer in the field of healthcare information technology </w:t>
      </w:r>
      <w:r w:rsidR="00A62108" w:rsidRPr="005E0CB5">
        <w:rPr>
          <w:rFonts w:ascii="Calibri" w:hAnsi="Calibri" w:cs="Calibri"/>
        </w:rPr>
        <w:t>delivering tomorrow’s healthcare information technology today via innovative enterprise practice management, electronic health records and radiology information systems solutions. The company’s signature software solution, MedInformatix V7.7, is customizable across multiple medical specialties and modalities, helping practices of all sizes achieve optimal data and workflow efficiency.</w:t>
      </w:r>
      <w:r w:rsidR="007677EB" w:rsidRPr="005E0CB5">
        <w:rPr>
          <w:rFonts w:ascii="Calibri" w:hAnsi="Calibri" w:cs="Calibri"/>
        </w:rPr>
        <w:t xml:space="preserve"> Our signature RIS has been implemented in pra</w:t>
      </w:r>
      <w:r w:rsidRPr="005E0CB5">
        <w:rPr>
          <w:rFonts w:ascii="Calibri" w:hAnsi="Calibri" w:cs="Calibri"/>
        </w:rPr>
        <w:t xml:space="preserve">ctices large and small, including in more than a third of the members of the Strategic Radiology consortium. For more than 30 </w:t>
      </w:r>
      <w:r w:rsidR="00CD14B6" w:rsidRPr="005E0CB5">
        <w:rPr>
          <w:rFonts w:ascii="Calibri" w:hAnsi="Calibri" w:cs="Calibri"/>
        </w:rPr>
        <w:t>years,</w:t>
      </w:r>
      <w:r w:rsidRPr="005E0CB5">
        <w:rPr>
          <w:rFonts w:ascii="Calibri" w:hAnsi="Calibri" w:cs="Calibri"/>
        </w:rPr>
        <w:t xml:space="preserve"> our innovative and powerful technologies have kept physicians and their practices on the leading edge of advanced data workflow and patient-physician engagement.</w:t>
      </w:r>
    </w:p>
    <w:p w14:paraId="58853E82" w14:textId="0ABBE08A" w:rsidR="00A94437" w:rsidRPr="005E0CB5" w:rsidRDefault="00A94437">
      <w:pPr>
        <w:rPr>
          <w:rFonts w:ascii="Calibri" w:hAnsi="Calibri" w:cs="Calibri"/>
        </w:rPr>
      </w:pPr>
    </w:p>
    <w:p w14:paraId="64A1C368" w14:textId="75B88ED2" w:rsidR="00A94437" w:rsidRPr="0053109F" w:rsidRDefault="00F741F3">
      <w:pPr>
        <w:rPr>
          <w:rFonts w:ascii="Calibri" w:hAnsi="Calibri" w:cs="Calibri"/>
          <w:b/>
        </w:rPr>
      </w:pPr>
      <w:r w:rsidRPr="0053109F">
        <w:rPr>
          <w:rFonts w:ascii="Calibri" w:hAnsi="Calibri" w:cs="Calibri"/>
          <w:b/>
        </w:rPr>
        <w:t>General Comments</w:t>
      </w:r>
    </w:p>
    <w:p w14:paraId="4DED6415" w14:textId="7B069584" w:rsidR="00EC2858" w:rsidRPr="005E0CB5" w:rsidRDefault="00EC2858">
      <w:pPr>
        <w:rPr>
          <w:rFonts w:ascii="Calibri" w:hAnsi="Calibri" w:cs="Calibri"/>
        </w:rPr>
      </w:pPr>
      <w:r w:rsidRPr="005E0CB5">
        <w:rPr>
          <w:rFonts w:ascii="Calibri" w:hAnsi="Calibri" w:cs="Calibri"/>
        </w:rPr>
        <w:t>We</w:t>
      </w:r>
      <w:r w:rsidR="00F40A51" w:rsidRPr="005E0CB5">
        <w:rPr>
          <w:rFonts w:ascii="Calibri" w:hAnsi="Calibri" w:cs="Calibri"/>
        </w:rPr>
        <w:t xml:space="preserve"> agree</w:t>
      </w:r>
      <w:r w:rsidR="00A565FF" w:rsidRPr="005E0CB5">
        <w:rPr>
          <w:rFonts w:ascii="Calibri" w:hAnsi="Calibri" w:cs="Calibri"/>
        </w:rPr>
        <w:t xml:space="preserve"> and support</w:t>
      </w:r>
      <w:r w:rsidR="00F40A51" w:rsidRPr="005E0CB5">
        <w:rPr>
          <w:rFonts w:ascii="Calibri" w:hAnsi="Calibri" w:cs="Calibri"/>
        </w:rPr>
        <w:t xml:space="preserve"> in principle with the overarching strategies proposed in </w:t>
      </w:r>
      <w:r w:rsidR="00A565FF" w:rsidRPr="005E0CB5">
        <w:rPr>
          <w:rFonts w:ascii="Calibri" w:hAnsi="Calibri" w:cs="Calibri"/>
        </w:rPr>
        <w:t xml:space="preserve">the draft </w:t>
      </w:r>
      <w:r w:rsidR="00F40A51" w:rsidRPr="005E0CB5">
        <w:rPr>
          <w:rFonts w:ascii="Calibri" w:hAnsi="Calibri" w:cs="Calibri"/>
        </w:rPr>
        <w:t>“Strategy on Reducing Regulatory and Administrative Burden Relating to the Use of Health IT and EHRs”. </w:t>
      </w:r>
      <w:r w:rsidR="00A565FF" w:rsidRPr="005E0CB5">
        <w:rPr>
          <w:rFonts w:ascii="Calibri" w:hAnsi="Calibri" w:cs="Calibri"/>
        </w:rPr>
        <w:t>We</w:t>
      </w:r>
      <w:r w:rsidRPr="005E0CB5">
        <w:rPr>
          <w:rFonts w:ascii="Calibri" w:hAnsi="Calibri" w:cs="Calibri"/>
        </w:rPr>
        <w:t xml:space="preserve"> are </w:t>
      </w:r>
      <w:r w:rsidR="00CE7E4C" w:rsidRPr="005E0CB5">
        <w:rPr>
          <w:rFonts w:ascii="Calibri" w:hAnsi="Calibri" w:cs="Calibri"/>
        </w:rPr>
        <w:t>invigorated</w:t>
      </w:r>
      <w:r w:rsidRPr="005E0CB5">
        <w:rPr>
          <w:rFonts w:ascii="Calibri" w:hAnsi="Calibri" w:cs="Calibri"/>
        </w:rPr>
        <w:t xml:space="preserve"> by this Administration’s efforts to </w:t>
      </w:r>
      <w:r w:rsidR="00CB6558" w:rsidRPr="005E0CB5">
        <w:rPr>
          <w:rFonts w:ascii="Calibri" w:hAnsi="Calibri" w:cs="Calibri"/>
        </w:rPr>
        <w:t xml:space="preserve">help reduce administrative and regulatory burden on clinicians </w:t>
      </w:r>
      <w:r w:rsidR="004629C6" w:rsidRPr="005E0CB5">
        <w:rPr>
          <w:rFonts w:ascii="Calibri" w:hAnsi="Calibri" w:cs="Calibri"/>
        </w:rPr>
        <w:t>using</w:t>
      </w:r>
      <w:r w:rsidR="00CB6558" w:rsidRPr="005E0CB5">
        <w:rPr>
          <w:rFonts w:ascii="Calibri" w:hAnsi="Calibri" w:cs="Calibri"/>
        </w:rPr>
        <w:t xml:space="preserve"> health information technology (health IT) such as electronic health records (EHRs).</w:t>
      </w:r>
      <w:r w:rsidR="004439E7" w:rsidRPr="005E0CB5">
        <w:rPr>
          <w:rFonts w:ascii="Calibri" w:hAnsi="Calibri" w:cs="Calibri"/>
        </w:rPr>
        <w:t xml:space="preserve"> </w:t>
      </w:r>
      <w:r w:rsidRPr="005E0CB5">
        <w:rPr>
          <w:rFonts w:ascii="Calibri" w:hAnsi="Calibri" w:cs="Calibri"/>
        </w:rPr>
        <w:t xml:space="preserve">We </w:t>
      </w:r>
      <w:r w:rsidR="00CE7E4C" w:rsidRPr="005E0CB5">
        <w:rPr>
          <w:rFonts w:ascii="Calibri" w:hAnsi="Calibri" w:cs="Calibri"/>
        </w:rPr>
        <w:t>laud</w:t>
      </w:r>
      <w:r w:rsidRPr="005E0CB5">
        <w:rPr>
          <w:rFonts w:ascii="Calibri" w:hAnsi="Calibri" w:cs="Calibri"/>
        </w:rPr>
        <w:t xml:space="preserve"> the Administration’s </w:t>
      </w:r>
      <w:r w:rsidR="004629C6" w:rsidRPr="005E0CB5">
        <w:rPr>
          <w:rFonts w:ascii="Calibri" w:hAnsi="Calibri" w:cs="Calibri"/>
        </w:rPr>
        <w:t xml:space="preserve">overarching </w:t>
      </w:r>
      <w:r w:rsidR="004439E7" w:rsidRPr="005E0CB5">
        <w:rPr>
          <w:rFonts w:ascii="Calibri" w:hAnsi="Calibri" w:cs="Calibri"/>
        </w:rPr>
        <w:t>goals</w:t>
      </w:r>
      <w:r w:rsidRPr="005E0CB5">
        <w:rPr>
          <w:rFonts w:ascii="Calibri" w:hAnsi="Calibri" w:cs="Calibri"/>
        </w:rPr>
        <w:t xml:space="preserve"> to </w:t>
      </w:r>
      <w:r w:rsidR="004629C6" w:rsidRPr="005E0CB5">
        <w:rPr>
          <w:rFonts w:ascii="Calibri" w:hAnsi="Calibri" w:cs="Calibri"/>
        </w:rPr>
        <w:t>reduce clinician burden</w:t>
      </w:r>
      <w:r w:rsidRPr="005E0CB5">
        <w:rPr>
          <w:rFonts w:ascii="Calibri" w:hAnsi="Calibri" w:cs="Calibri"/>
        </w:rPr>
        <w:t>.</w:t>
      </w:r>
    </w:p>
    <w:p w14:paraId="6483A09E" w14:textId="77777777" w:rsidR="00EC2858" w:rsidRPr="005E0CB5" w:rsidRDefault="00EC2858">
      <w:pPr>
        <w:rPr>
          <w:rFonts w:ascii="Calibri" w:hAnsi="Calibri" w:cs="Calibri"/>
        </w:rPr>
      </w:pPr>
    </w:p>
    <w:p w14:paraId="79E304CC" w14:textId="77777777" w:rsidR="008E1511" w:rsidRDefault="008E1511" w:rsidP="00A94437">
      <w:pPr>
        <w:pStyle w:val="Default"/>
        <w:rPr>
          <w:color w:val="auto"/>
          <w:sz w:val="22"/>
          <w:szCs w:val="22"/>
        </w:rPr>
      </w:pPr>
    </w:p>
    <w:p w14:paraId="37BFFFC8" w14:textId="77777777" w:rsidR="008E1511" w:rsidRDefault="008E1511" w:rsidP="00A94437">
      <w:pPr>
        <w:pStyle w:val="Default"/>
        <w:rPr>
          <w:color w:val="auto"/>
          <w:sz w:val="22"/>
          <w:szCs w:val="22"/>
        </w:rPr>
      </w:pPr>
    </w:p>
    <w:p w14:paraId="5F536883" w14:textId="153BF202" w:rsidR="00A94437" w:rsidRDefault="009248D4" w:rsidP="00A94437">
      <w:pPr>
        <w:pStyle w:val="Default"/>
        <w:rPr>
          <w:color w:val="auto"/>
          <w:sz w:val="22"/>
          <w:szCs w:val="22"/>
        </w:rPr>
      </w:pPr>
      <w:r w:rsidRPr="005E0CB5">
        <w:rPr>
          <w:color w:val="auto"/>
          <w:sz w:val="22"/>
          <w:szCs w:val="22"/>
        </w:rPr>
        <w:lastRenderedPageBreak/>
        <w:t>However, w</w:t>
      </w:r>
      <w:r w:rsidR="00A94437" w:rsidRPr="005E0CB5">
        <w:rPr>
          <w:color w:val="auto"/>
          <w:sz w:val="22"/>
          <w:szCs w:val="22"/>
        </w:rPr>
        <w:t xml:space="preserve">hen the proposed strategies are closely reviewed they are no different than those previously proposed and mandated, and very vague in structure.    Each new attempt at standard development has continued to shift the EHR industry away from innovation and into a world of compliance to adhere to “data and interoperability standards” that are not standardized to a single format or data requirement, nor strictly followed by all stakeholders.  These past attempts to address these issues have also increased the burden on providers by creating increased documentation and reporting requirements that have significantly increased the amount of data that providers and their staff must collect and submit.  Although these past attempts perhaps have been easier to implement for large healthcare networks, the burden of compliance has had a significant psychological and financial impact on the small community-based provider. </w:t>
      </w:r>
    </w:p>
    <w:p w14:paraId="5B033182" w14:textId="77777777" w:rsidR="00206738" w:rsidRPr="005E0CB5" w:rsidRDefault="00206738" w:rsidP="00A94437">
      <w:pPr>
        <w:pStyle w:val="Default"/>
        <w:rPr>
          <w:color w:val="auto"/>
          <w:sz w:val="22"/>
          <w:szCs w:val="22"/>
        </w:rPr>
      </w:pPr>
    </w:p>
    <w:p w14:paraId="24EE300F" w14:textId="5BC47951" w:rsidR="003406C5" w:rsidRPr="005E0CB5" w:rsidRDefault="00FB32D4" w:rsidP="00A94437">
      <w:pPr>
        <w:pStyle w:val="Default"/>
        <w:rPr>
          <w:color w:val="auto"/>
          <w:sz w:val="22"/>
          <w:szCs w:val="22"/>
        </w:rPr>
      </w:pPr>
      <w:r w:rsidRPr="005E0CB5">
        <w:rPr>
          <w:color w:val="auto"/>
          <w:sz w:val="22"/>
          <w:szCs w:val="22"/>
        </w:rPr>
        <w:t xml:space="preserve">We believe </w:t>
      </w:r>
      <w:r w:rsidR="00B865AF" w:rsidRPr="005E0CB5">
        <w:rPr>
          <w:color w:val="auto"/>
          <w:sz w:val="22"/>
          <w:szCs w:val="22"/>
        </w:rPr>
        <w:t xml:space="preserve">HHS </w:t>
      </w:r>
      <w:r w:rsidR="00EB2648" w:rsidRPr="005E0CB5">
        <w:rPr>
          <w:color w:val="auto"/>
          <w:sz w:val="22"/>
          <w:szCs w:val="22"/>
        </w:rPr>
        <w:t xml:space="preserve">can take steps to reduce burden </w:t>
      </w:r>
      <w:r w:rsidR="00E476FA" w:rsidRPr="005E0CB5">
        <w:rPr>
          <w:color w:val="auto"/>
          <w:sz w:val="22"/>
          <w:szCs w:val="22"/>
        </w:rPr>
        <w:t xml:space="preserve">by taking a position of </w:t>
      </w:r>
      <w:r w:rsidR="00F939C5" w:rsidRPr="005E0CB5">
        <w:rPr>
          <w:color w:val="auto"/>
          <w:sz w:val="22"/>
          <w:szCs w:val="22"/>
        </w:rPr>
        <w:t>g</w:t>
      </w:r>
      <w:r w:rsidR="00B865AF" w:rsidRPr="005E0CB5">
        <w:rPr>
          <w:color w:val="auto"/>
          <w:sz w:val="22"/>
          <w:szCs w:val="22"/>
        </w:rPr>
        <w:t xml:space="preserve">uidance and </w:t>
      </w:r>
      <w:r w:rsidR="00F939C5" w:rsidRPr="005E0CB5">
        <w:rPr>
          <w:color w:val="auto"/>
          <w:sz w:val="22"/>
          <w:szCs w:val="22"/>
        </w:rPr>
        <w:t>a</w:t>
      </w:r>
      <w:r w:rsidR="00B865AF" w:rsidRPr="005E0CB5">
        <w:rPr>
          <w:color w:val="auto"/>
          <w:sz w:val="22"/>
          <w:szCs w:val="22"/>
        </w:rPr>
        <w:t xml:space="preserve">dvocacy but not </w:t>
      </w:r>
      <w:r w:rsidR="00F939C5" w:rsidRPr="005E0CB5">
        <w:rPr>
          <w:color w:val="auto"/>
          <w:sz w:val="22"/>
          <w:szCs w:val="22"/>
        </w:rPr>
        <w:t>r</w:t>
      </w:r>
      <w:r w:rsidR="00B865AF" w:rsidRPr="005E0CB5">
        <w:rPr>
          <w:color w:val="auto"/>
          <w:sz w:val="22"/>
          <w:szCs w:val="22"/>
        </w:rPr>
        <w:t xml:space="preserve">egulation.  </w:t>
      </w:r>
      <w:r w:rsidR="001B1367" w:rsidRPr="005E0CB5">
        <w:rPr>
          <w:color w:val="auto"/>
          <w:sz w:val="22"/>
          <w:szCs w:val="22"/>
        </w:rPr>
        <w:t xml:space="preserve">We share ONC’s </w:t>
      </w:r>
      <w:r w:rsidR="00325574" w:rsidRPr="005E0CB5">
        <w:rPr>
          <w:color w:val="auto"/>
          <w:sz w:val="22"/>
          <w:szCs w:val="22"/>
        </w:rPr>
        <w:t xml:space="preserve">vision </w:t>
      </w:r>
      <w:r w:rsidR="004E6881" w:rsidRPr="005E0CB5">
        <w:rPr>
          <w:color w:val="auto"/>
          <w:sz w:val="22"/>
          <w:szCs w:val="22"/>
        </w:rPr>
        <w:t>to fulfill the EHRs “original</w:t>
      </w:r>
      <w:r w:rsidR="000A11D3" w:rsidRPr="005E0CB5">
        <w:rPr>
          <w:color w:val="auto"/>
          <w:sz w:val="22"/>
          <w:szCs w:val="22"/>
        </w:rPr>
        <w:t xml:space="preserve"> intension </w:t>
      </w:r>
      <w:r w:rsidR="00650803" w:rsidRPr="005E0CB5">
        <w:rPr>
          <w:color w:val="auto"/>
          <w:sz w:val="22"/>
          <w:szCs w:val="22"/>
        </w:rPr>
        <w:t>[in] supporting the best possible care for the patient</w:t>
      </w:r>
      <w:r w:rsidR="004A17AA" w:rsidRPr="005E0CB5">
        <w:rPr>
          <w:color w:val="auto"/>
          <w:sz w:val="22"/>
          <w:szCs w:val="22"/>
        </w:rPr>
        <w:t xml:space="preserve">.” </w:t>
      </w:r>
      <w:r w:rsidR="00381A9A" w:rsidRPr="005E0CB5">
        <w:rPr>
          <w:color w:val="auto"/>
          <w:sz w:val="22"/>
          <w:szCs w:val="22"/>
        </w:rPr>
        <w:t xml:space="preserve">We </w:t>
      </w:r>
      <w:r w:rsidR="00230CF3" w:rsidRPr="005E0CB5">
        <w:rPr>
          <w:color w:val="auto"/>
          <w:sz w:val="22"/>
          <w:szCs w:val="22"/>
        </w:rPr>
        <w:t xml:space="preserve">want to focus </w:t>
      </w:r>
      <w:r w:rsidR="00104460" w:rsidRPr="005E0CB5">
        <w:rPr>
          <w:color w:val="auto"/>
          <w:sz w:val="22"/>
          <w:szCs w:val="22"/>
        </w:rPr>
        <w:t xml:space="preserve">our development efforts in providing solutions that do not divert clinician time </w:t>
      </w:r>
      <w:r w:rsidR="00DE1A3E" w:rsidRPr="005E0CB5">
        <w:rPr>
          <w:color w:val="auto"/>
          <w:sz w:val="22"/>
          <w:szCs w:val="22"/>
        </w:rPr>
        <w:t>and attention from patient care</w:t>
      </w:r>
      <w:r w:rsidR="00D326D4" w:rsidRPr="005E0CB5">
        <w:rPr>
          <w:color w:val="auto"/>
          <w:sz w:val="22"/>
          <w:szCs w:val="22"/>
        </w:rPr>
        <w:t xml:space="preserve">. Often due to regulatory mandates and lengthy certification </w:t>
      </w:r>
      <w:r w:rsidR="005767AC" w:rsidRPr="005E0CB5">
        <w:rPr>
          <w:color w:val="auto"/>
          <w:sz w:val="22"/>
          <w:szCs w:val="22"/>
        </w:rPr>
        <w:t xml:space="preserve">requirements efforts are expanded in just meeting these requirements rather than </w:t>
      </w:r>
      <w:r w:rsidR="00246679" w:rsidRPr="005E0CB5">
        <w:rPr>
          <w:color w:val="auto"/>
          <w:sz w:val="22"/>
          <w:szCs w:val="22"/>
        </w:rPr>
        <w:t xml:space="preserve">in providing innovation and </w:t>
      </w:r>
      <w:r w:rsidR="00646EC1" w:rsidRPr="005E0CB5">
        <w:rPr>
          <w:color w:val="auto"/>
          <w:sz w:val="22"/>
          <w:szCs w:val="22"/>
        </w:rPr>
        <w:t>efficient designs.</w:t>
      </w:r>
    </w:p>
    <w:p w14:paraId="192592A6" w14:textId="5177B455" w:rsidR="00292CF2" w:rsidRPr="005E0CB5" w:rsidRDefault="00292CF2" w:rsidP="00A94437">
      <w:pPr>
        <w:pStyle w:val="Default"/>
        <w:rPr>
          <w:color w:val="auto"/>
          <w:sz w:val="22"/>
          <w:szCs w:val="22"/>
        </w:rPr>
      </w:pPr>
    </w:p>
    <w:p w14:paraId="08FE8111" w14:textId="7B5A4D30" w:rsidR="00A30298" w:rsidRPr="005E0CB5" w:rsidRDefault="00292CF2" w:rsidP="00A94437">
      <w:pPr>
        <w:pStyle w:val="Default"/>
        <w:rPr>
          <w:color w:val="auto"/>
          <w:sz w:val="22"/>
          <w:szCs w:val="22"/>
        </w:rPr>
      </w:pPr>
      <w:r w:rsidRPr="005E0CB5">
        <w:rPr>
          <w:color w:val="auto"/>
          <w:sz w:val="22"/>
          <w:szCs w:val="22"/>
        </w:rPr>
        <w:t xml:space="preserve">MedInformatix is committed to </w:t>
      </w:r>
      <w:r w:rsidR="006E44DD" w:rsidRPr="005E0CB5">
        <w:rPr>
          <w:color w:val="auto"/>
          <w:sz w:val="22"/>
          <w:szCs w:val="22"/>
        </w:rPr>
        <w:t>helping reduce the burden on physicians</w:t>
      </w:r>
      <w:r w:rsidR="00F96458" w:rsidRPr="005E0CB5">
        <w:rPr>
          <w:color w:val="auto"/>
          <w:sz w:val="22"/>
          <w:szCs w:val="22"/>
        </w:rPr>
        <w:t>. I</w:t>
      </w:r>
      <w:r w:rsidR="00005A9D" w:rsidRPr="005E0CB5">
        <w:rPr>
          <w:color w:val="auto"/>
          <w:sz w:val="22"/>
          <w:szCs w:val="22"/>
        </w:rPr>
        <w:t>n</w:t>
      </w:r>
      <w:r w:rsidR="00211423" w:rsidRPr="005E0CB5">
        <w:rPr>
          <w:color w:val="auto"/>
          <w:sz w:val="22"/>
          <w:szCs w:val="22"/>
        </w:rPr>
        <w:t xml:space="preserve"> </w:t>
      </w:r>
      <w:r w:rsidR="00005A9D" w:rsidRPr="005E0CB5">
        <w:rPr>
          <w:color w:val="auto"/>
          <w:sz w:val="22"/>
          <w:szCs w:val="22"/>
        </w:rPr>
        <w:t>promoting</w:t>
      </w:r>
      <w:r w:rsidR="00211423" w:rsidRPr="005E0CB5">
        <w:rPr>
          <w:color w:val="auto"/>
          <w:sz w:val="22"/>
          <w:szCs w:val="22"/>
        </w:rPr>
        <w:t xml:space="preserve"> the Administration’s </w:t>
      </w:r>
      <w:r w:rsidR="00945090" w:rsidRPr="005E0CB5">
        <w:rPr>
          <w:color w:val="auto"/>
          <w:sz w:val="22"/>
          <w:szCs w:val="22"/>
        </w:rPr>
        <w:t>burden reduction overarching goals</w:t>
      </w:r>
      <w:r w:rsidR="00A83749" w:rsidRPr="005E0CB5">
        <w:rPr>
          <w:color w:val="auto"/>
          <w:sz w:val="22"/>
          <w:szCs w:val="22"/>
        </w:rPr>
        <w:t>,</w:t>
      </w:r>
      <w:r w:rsidR="00E73F95" w:rsidRPr="005E0CB5">
        <w:rPr>
          <w:color w:val="auto"/>
          <w:sz w:val="22"/>
          <w:szCs w:val="22"/>
        </w:rPr>
        <w:t xml:space="preserve"> we</w:t>
      </w:r>
      <w:r w:rsidR="00B96E5E" w:rsidRPr="005E0CB5">
        <w:rPr>
          <w:color w:val="auto"/>
          <w:sz w:val="22"/>
          <w:szCs w:val="22"/>
        </w:rPr>
        <w:t xml:space="preserve"> are</w:t>
      </w:r>
      <w:r w:rsidR="00E73F95" w:rsidRPr="005E0CB5">
        <w:rPr>
          <w:color w:val="auto"/>
          <w:sz w:val="22"/>
          <w:szCs w:val="22"/>
        </w:rPr>
        <w:t xml:space="preserve"> providing </w:t>
      </w:r>
      <w:r w:rsidR="0083272B" w:rsidRPr="005E0CB5">
        <w:rPr>
          <w:color w:val="auto"/>
          <w:sz w:val="22"/>
          <w:szCs w:val="22"/>
        </w:rPr>
        <w:t>solutions tailored to meet the unique specifications of individual clients</w:t>
      </w:r>
      <w:r w:rsidR="00A83749" w:rsidRPr="005E0CB5">
        <w:rPr>
          <w:color w:val="auto"/>
          <w:sz w:val="22"/>
          <w:szCs w:val="22"/>
        </w:rPr>
        <w:t xml:space="preserve"> as we understand that no two practices are alike. </w:t>
      </w:r>
      <w:r w:rsidR="00F63575" w:rsidRPr="005E0CB5">
        <w:rPr>
          <w:color w:val="auto"/>
          <w:sz w:val="22"/>
          <w:szCs w:val="22"/>
        </w:rPr>
        <w:t>Routine evaluations</w:t>
      </w:r>
      <w:r w:rsidR="00A83749" w:rsidRPr="005E0CB5">
        <w:rPr>
          <w:color w:val="auto"/>
          <w:sz w:val="22"/>
          <w:szCs w:val="22"/>
        </w:rPr>
        <w:t xml:space="preserve"> are regularly performed</w:t>
      </w:r>
      <w:r w:rsidR="00A30298" w:rsidRPr="005E0CB5">
        <w:rPr>
          <w:color w:val="auto"/>
          <w:sz w:val="22"/>
          <w:szCs w:val="22"/>
        </w:rPr>
        <w:t xml:space="preserve"> to ensure the solution continues to meet our client’s evolving needs</w:t>
      </w:r>
      <w:r w:rsidR="00F63575" w:rsidRPr="005E0CB5">
        <w:rPr>
          <w:color w:val="auto"/>
          <w:sz w:val="22"/>
          <w:szCs w:val="22"/>
        </w:rPr>
        <w:t>.</w:t>
      </w:r>
      <w:r w:rsidR="00000A7E" w:rsidRPr="005E0CB5">
        <w:rPr>
          <w:color w:val="auto"/>
          <w:sz w:val="22"/>
          <w:szCs w:val="22"/>
        </w:rPr>
        <w:t xml:space="preserve"> We are applying </w:t>
      </w:r>
      <w:r w:rsidR="00C32499" w:rsidRPr="005E0CB5">
        <w:rPr>
          <w:color w:val="auto"/>
          <w:sz w:val="22"/>
          <w:szCs w:val="22"/>
        </w:rPr>
        <w:t>User Centered Design methods throughout the development and implementation processes</w:t>
      </w:r>
      <w:r w:rsidR="008425FF" w:rsidRPr="005E0CB5">
        <w:rPr>
          <w:color w:val="auto"/>
          <w:sz w:val="22"/>
          <w:szCs w:val="22"/>
        </w:rPr>
        <w:t xml:space="preserve"> to ensure the solution is effective and usable.</w:t>
      </w:r>
    </w:p>
    <w:p w14:paraId="525012D0" w14:textId="64EE9073" w:rsidR="008425FF" w:rsidRPr="005E0CB5" w:rsidRDefault="008425FF" w:rsidP="00A94437">
      <w:pPr>
        <w:pStyle w:val="Default"/>
        <w:rPr>
          <w:color w:val="auto"/>
          <w:sz w:val="22"/>
          <w:szCs w:val="22"/>
        </w:rPr>
      </w:pPr>
    </w:p>
    <w:p w14:paraId="2F287248" w14:textId="5465698C" w:rsidR="008425FF" w:rsidRPr="005E0CB5" w:rsidRDefault="008D3FD2" w:rsidP="00A94437">
      <w:pPr>
        <w:pStyle w:val="Default"/>
        <w:rPr>
          <w:color w:val="auto"/>
          <w:sz w:val="22"/>
          <w:szCs w:val="22"/>
        </w:rPr>
      </w:pPr>
      <w:r w:rsidRPr="005E0CB5">
        <w:rPr>
          <w:color w:val="auto"/>
          <w:sz w:val="22"/>
          <w:szCs w:val="22"/>
        </w:rPr>
        <w:t>MedInformatix offer</w:t>
      </w:r>
      <w:r w:rsidR="005D4E21" w:rsidRPr="005E0CB5">
        <w:rPr>
          <w:color w:val="auto"/>
          <w:sz w:val="22"/>
          <w:szCs w:val="22"/>
        </w:rPr>
        <w:t>s</w:t>
      </w:r>
      <w:r w:rsidRPr="005E0CB5">
        <w:rPr>
          <w:color w:val="auto"/>
          <w:sz w:val="22"/>
          <w:szCs w:val="22"/>
        </w:rPr>
        <w:t xml:space="preserve"> the following comments in the spirit of achieving </w:t>
      </w:r>
      <w:r w:rsidR="00204C7C" w:rsidRPr="005E0CB5">
        <w:rPr>
          <w:color w:val="auto"/>
          <w:sz w:val="22"/>
          <w:szCs w:val="22"/>
        </w:rPr>
        <w:t>the burden reduction</w:t>
      </w:r>
      <w:r w:rsidRPr="005E0CB5">
        <w:rPr>
          <w:color w:val="auto"/>
          <w:sz w:val="22"/>
          <w:szCs w:val="22"/>
        </w:rPr>
        <w:t xml:space="preserve"> goals and to accomplish a shared outcome – a </w:t>
      </w:r>
      <w:r w:rsidR="00B06D9A" w:rsidRPr="005E0CB5">
        <w:rPr>
          <w:color w:val="auto"/>
          <w:sz w:val="22"/>
          <w:szCs w:val="22"/>
        </w:rPr>
        <w:t xml:space="preserve">vision for interoperable health information exchange that centers on the experience of clinicians and patients. </w:t>
      </w:r>
    </w:p>
    <w:p w14:paraId="10715F08" w14:textId="68576BA1" w:rsidR="00240EC2" w:rsidRDefault="00240EC2" w:rsidP="00A94437">
      <w:pPr>
        <w:pStyle w:val="Default"/>
      </w:pPr>
    </w:p>
    <w:p w14:paraId="7CC8E264" w14:textId="276CE935" w:rsidR="00240EC2" w:rsidRDefault="00240EC2" w:rsidP="00A94437">
      <w:pPr>
        <w:pStyle w:val="Default"/>
        <w:rPr>
          <w:b/>
        </w:rPr>
      </w:pPr>
      <w:r w:rsidRPr="00240EC2">
        <w:rPr>
          <w:b/>
        </w:rPr>
        <w:t>Specific Comments</w:t>
      </w:r>
    </w:p>
    <w:p w14:paraId="183B5E0A" w14:textId="3893598F" w:rsidR="00511F30" w:rsidRDefault="00511F30" w:rsidP="00A94437">
      <w:pPr>
        <w:pStyle w:val="Default"/>
        <w:rPr>
          <w:b/>
        </w:rPr>
      </w:pPr>
    </w:p>
    <w:p w14:paraId="07DF9812" w14:textId="729AD1B7" w:rsidR="00511F30" w:rsidRDefault="00CF5256" w:rsidP="00A94437">
      <w:pPr>
        <w:pStyle w:val="Default"/>
        <w:rPr>
          <w:i/>
          <w:u w:val="single"/>
        </w:rPr>
      </w:pPr>
      <w:r w:rsidRPr="004823D9">
        <w:rPr>
          <w:i/>
          <w:u w:val="single"/>
        </w:rPr>
        <w:t>Clinical</w:t>
      </w:r>
      <w:r w:rsidR="004823D9" w:rsidRPr="004823D9">
        <w:rPr>
          <w:i/>
          <w:u w:val="single"/>
        </w:rPr>
        <w:t xml:space="preserve"> Documentation Strategy-</w:t>
      </w:r>
    </w:p>
    <w:p w14:paraId="386C484D" w14:textId="2D1E7E53" w:rsidR="004823D9" w:rsidRDefault="004823D9" w:rsidP="00A94437">
      <w:pPr>
        <w:pStyle w:val="Default"/>
      </w:pPr>
    </w:p>
    <w:p w14:paraId="1AC3A9BD" w14:textId="3A247DFC" w:rsidR="00A94437" w:rsidRDefault="006C026B" w:rsidP="00757BC5">
      <w:pPr>
        <w:pStyle w:val="Default"/>
      </w:pPr>
      <w:r>
        <w:t xml:space="preserve">- </w:t>
      </w:r>
      <w:r w:rsidR="008D2C34" w:rsidRPr="005E0CB5">
        <w:rPr>
          <w:color w:val="auto"/>
          <w:sz w:val="22"/>
          <w:szCs w:val="22"/>
        </w:rPr>
        <w:t>Reduc</w:t>
      </w:r>
      <w:r w:rsidR="001D0E0B" w:rsidRPr="005E0CB5">
        <w:rPr>
          <w:color w:val="auto"/>
          <w:sz w:val="22"/>
          <w:szCs w:val="22"/>
        </w:rPr>
        <w:t>ing</w:t>
      </w:r>
      <w:r w:rsidR="008D2C34" w:rsidRPr="005E0CB5">
        <w:rPr>
          <w:color w:val="auto"/>
          <w:sz w:val="22"/>
          <w:szCs w:val="22"/>
        </w:rPr>
        <w:t xml:space="preserve"> </w:t>
      </w:r>
      <w:r w:rsidR="00714FE5" w:rsidRPr="005E0CB5">
        <w:rPr>
          <w:color w:val="auto"/>
          <w:sz w:val="22"/>
          <w:szCs w:val="22"/>
        </w:rPr>
        <w:t>regulatory burden around documentation requirements</w:t>
      </w:r>
      <w:r w:rsidR="00757BC5" w:rsidRPr="005E0CB5">
        <w:rPr>
          <w:color w:val="auto"/>
          <w:sz w:val="22"/>
          <w:szCs w:val="22"/>
        </w:rPr>
        <w:t xml:space="preserve"> will greatly simplify the documentation requirements for patient encounters.</w:t>
      </w:r>
      <w:r w:rsidR="001D0E0B" w:rsidRPr="005E0CB5">
        <w:rPr>
          <w:color w:val="auto"/>
          <w:sz w:val="22"/>
          <w:szCs w:val="22"/>
        </w:rPr>
        <w:t xml:space="preserve"> </w:t>
      </w:r>
      <w:r w:rsidR="00F2379C" w:rsidRPr="005E0CB5">
        <w:rPr>
          <w:color w:val="auto"/>
          <w:sz w:val="22"/>
          <w:szCs w:val="22"/>
        </w:rPr>
        <w:t>The best way to streamlin</w:t>
      </w:r>
      <w:r w:rsidR="006F7B2D" w:rsidRPr="005E0CB5">
        <w:rPr>
          <w:color w:val="auto"/>
          <w:sz w:val="22"/>
          <w:szCs w:val="22"/>
        </w:rPr>
        <w:t xml:space="preserve">e </w:t>
      </w:r>
      <w:r w:rsidR="00F2379C" w:rsidRPr="005E0CB5">
        <w:rPr>
          <w:color w:val="auto"/>
          <w:sz w:val="22"/>
          <w:szCs w:val="22"/>
        </w:rPr>
        <w:t>documentation is to limit the superfluous</w:t>
      </w:r>
      <w:r w:rsidR="00AA7EFE" w:rsidRPr="005E0CB5">
        <w:rPr>
          <w:color w:val="auto"/>
          <w:sz w:val="22"/>
          <w:szCs w:val="22"/>
        </w:rPr>
        <w:t xml:space="preserve"> E/M</w:t>
      </w:r>
      <w:r w:rsidR="00927A76" w:rsidRPr="005E0CB5">
        <w:rPr>
          <w:color w:val="auto"/>
          <w:sz w:val="22"/>
          <w:szCs w:val="22"/>
        </w:rPr>
        <w:t xml:space="preserve"> guidelines from 95 &amp; 97</w:t>
      </w:r>
      <w:r w:rsidR="00BD00DE" w:rsidRPr="005E0CB5">
        <w:rPr>
          <w:color w:val="auto"/>
          <w:sz w:val="22"/>
          <w:szCs w:val="22"/>
        </w:rPr>
        <w:t xml:space="preserve"> to a simple traditional </w:t>
      </w:r>
      <w:r w:rsidR="00771CF4" w:rsidRPr="005E0CB5">
        <w:rPr>
          <w:color w:val="auto"/>
          <w:sz w:val="22"/>
          <w:szCs w:val="22"/>
        </w:rPr>
        <w:t xml:space="preserve">office note. We need to get away from all the </w:t>
      </w:r>
      <w:r w:rsidR="00226B77" w:rsidRPr="005E0CB5">
        <w:rPr>
          <w:color w:val="auto"/>
          <w:sz w:val="22"/>
          <w:szCs w:val="22"/>
        </w:rPr>
        <w:t>extraneous</w:t>
      </w:r>
      <w:r w:rsidR="00E218CB" w:rsidRPr="005E0CB5">
        <w:rPr>
          <w:color w:val="auto"/>
          <w:sz w:val="22"/>
          <w:szCs w:val="22"/>
        </w:rPr>
        <w:t xml:space="preserve"> data</w:t>
      </w:r>
      <w:r w:rsidR="00F63D9E" w:rsidRPr="005E0CB5">
        <w:rPr>
          <w:color w:val="auto"/>
          <w:sz w:val="22"/>
          <w:szCs w:val="22"/>
        </w:rPr>
        <w:t xml:space="preserve"> </w:t>
      </w:r>
      <w:r w:rsidR="005277B0" w:rsidRPr="005E0CB5">
        <w:rPr>
          <w:color w:val="auto"/>
          <w:sz w:val="22"/>
          <w:szCs w:val="22"/>
        </w:rPr>
        <w:t xml:space="preserve">(noise) </w:t>
      </w:r>
      <w:r w:rsidR="00F63D9E" w:rsidRPr="005E0CB5">
        <w:rPr>
          <w:color w:val="auto"/>
          <w:sz w:val="22"/>
          <w:szCs w:val="22"/>
        </w:rPr>
        <w:t xml:space="preserve">and create cleaner, </w:t>
      </w:r>
      <w:r w:rsidR="00253C9B" w:rsidRPr="005E0CB5">
        <w:rPr>
          <w:color w:val="auto"/>
          <w:sz w:val="22"/>
          <w:szCs w:val="22"/>
        </w:rPr>
        <w:t>more streamlined notes.</w:t>
      </w:r>
      <w:r w:rsidR="003F439B" w:rsidRPr="005E0CB5">
        <w:rPr>
          <w:color w:val="auto"/>
          <w:sz w:val="22"/>
          <w:szCs w:val="22"/>
        </w:rPr>
        <w:t xml:space="preserve"> </w:t>
      </w:r>
      <w:r w:rsidR="009E3F05" w:rsidRPr="005E0CB5">
        <w:rPr>
          <w:color w:val="auto"/>
          <w:sz w:val="22"/>
          <w:szCs w:val="22"/>
        </w:rPr>
        <w:t>Industry needs to get away from the concept of requiring documentat</w:t>
      </w:r>
      <w:r w:rsidR="0026104A" w:rsidRPr="005E0CB5">
        <w:rPr>
          <w:color w:val="auto"/>
          <w:sz w:val="22"/>
          <w:szCs w:val="22"/>
        </w:rPr>
        <w:t>ion to letting the clinicia</w:t>
      </w:r>
      <w:r w:rsidR="00C10FDA" w:rsidRPr="005E0CB5">
        <w:rPr>
          <w:color w:val="auto"/>
          <w:sz w:val="22"/>
          <w:szCs w:val="22"/>
        </w:rPr>
        <w:t xml:space="preserve">n document the </w:t>
      </w:r>
      <w:r w:rsidR="00224DD3" w:rsidRPr="005E0CB5">
        <w:rPr>
          <w:color w:val="auto"/>
          <w:sz w:val="22"/>
          <w:szCs w:val="22"/>
        </w:rPr>
        <w:t xml:space="preserve">basics </w:t>
      </w:r>
      <w:r w:rsidR="00C62296" w:rsidRPr="005E0CB5">
        <w:rPr>
          <w:color w:val="auto"/>
          <w:sz w:val="22"/>
          <w:szCs w:val="22"/>
        </w:rPr>
        <w:t xml:space="preserve">of the </w:t>
      </w:r>
      <w:r w:rsidR="009C5DEB" w:rsidRPr="005E0CB5">
        <w:rPr>
          <w:color w:val="auto"/>
          <w:sz w:val="22"/>
          <w:szCs w:val="22"/>
        </w:rPr>
        <w:t>visit</w:t>
      </w:r>
      <w:r w:rsidR="00C62296" w:rsidRPr="005E0CB5">
        <w:rPr>
          <w:color w:val="auto"/>
          <w:sz w:val="22"/>
          <w:szCs w:val="22"/>
        </w:rPr>
        <w:t>.</w:t>
      </w:r>
      <w:r w:rsidR="009C5DEB" w:rsidRPr="005E0CB5">
        <w:rPr>
          <w:color w:val="auto"/>
          <w:sz w:val="22"/>
          <w:szCs w:val="22"/>
        </w:rPr>
        <w:t xml:space="preserve"> </w:t>
      </w:r>
    </w:p>
    <w:p w14:paraId="143247D8" w14:textId="2C106FC1" w:rsidR="004F3D55" w:rsidRDefault="004F3D55" w:rsidP="00757BC5">
      <w:pPr>
        <w:pStyle w:val="Default"/>
      </w:pPr>
    </w:p>
    <w:p w14:paraId="0D9C00C1" w14:textId="48078A08" w:rsidR="004F3D55" w:rsidRDefault="004F3D55" w:rsidP="00757BC5">
      <w:pPr>
        <w:pStyle w:val="Default"/>
        <w:rPr>
          <w:color w:val="auto"/>
          <w:sz w:val="22"/>
          <w:szCs w:val="22"/>
        </w:rPr>
      </w:pPr>
      <w:r w:rsidRPr="005E0CB5">
        <w:rPr>
          <w:color w:val="auto"/>
          <w:sz w:val="22"/>
          <w:szCs w:val="22"/>
        </w:rPr>
        <w:t xml:space="preserve">The current CMS proposal to reduce documentation burden by changing E/M requirements applies only to outpatient E&amp;M services covered by Medicare. This will not produce meaningful change in clinical </w:t>
      </w:r>
      <w:r w:rsidRPr="005E0CB5">
        <w:rPr>
          <w:color w:val="auto"/>
          <w:sz w:val="22"/>
          <w:szCs w:val="22"/>
        </w:rPr>
        <w:lastRenderedPageBreak/>
        <w:t>practice and EHR function</w:t>
      </w:r>
      <w:r w:rsidR="00AD6BD8" w:rsidRPr="005E0CB5">
        <w:rPr>
          <w:color w:val="auto"/>
          <w:sz w:val="22"/>
          <w:szCs w:val="22"/>
        </w:rPr>
        <w:t>ality</w:t>
      </w:r>
      <w:r w:rsidRPr="005E0CB5">
        <w:rPr>
          <w:color w:val="auto"/>
          <w:sz w:val="22"/>
          <w:szCs w:val="22"/>
        </w:rPr>
        <w:t xml:space="preserve"> without equivalent changes </w:t>
      </w:r>
      <w:r w:rsidR="004E1E2D" w:rsidRPr="005E0CB5">
        <w:rPr>
          <w:color w:val="auto"/>
          <w:sz w:val="22"/>
          <w:szCs w:val="22"/>
        </w:rPr>
        <w:t xml:space="preserve">being adopted </w:t>
      </w:r>
      <w:r w:rsidRPr="005E0CB5">
        <w:rPr>
          <w:color w:val="auto"/>
          <w:sz w:val="22"/>
          <w:szCs w:val="22"/>
        </w:rPr>
        <w:t>across all payers both government and commercial</w:t>
      </w:r>
      <w:r w:rsidR="004E1E2D" w:rsidRPr="005E0CB5">
        <w:rPr>
          <w:color w:val="auto"/>
          <w:sz w:val="22"/>
          <w:szCs w:val="22"/>
        </w:rPr>
        <w:t>.</w:t>
      </w:r>
      <w:r w:rsidRPr="005E0CB5">
        <w:rPr>
          <w:color w:val="auto"/>
          <w:sz w:val="22"/>
          <w:szCs w:val="22"/>
        </w:rPr>
        <w:t xml:space="preserve"> </w:t>
      </w:r>
    </w:p>
    <w:p w14:paraId="64473CE8" w14:textId="77777777" w:rsidR="00641DFF" w:rsidRPr="005E0CB5" w:rsidRDefault="00641DFF" w:rsidP="00757BC5">
      <w:pPr>
        <w:pStyle w:val="Default"/>
        <w:rPr>
          <w:color w:val="auto"/>
          <w:sz w:val="22"/>
          <w:szCs w:val="22"/>
        </w:rPr>
      </w:pPr>
    </w:p>
    <w:p w14:paraId="5C6FFA08" w14:textId="32B69E5D" w:rsidR="00DA39EE" w:rsidRDefault="001D46F1" w:rsidP="00A759B7">
      <w:r>
        <w:t>-</w:t>
      </w:r>
      <w:r w:rsidR="00760D85">
        <w:t xml:space="preserve"> </w:t>
      </w:r>
      <w:r w:rsidR="00A73B3A" w:rsidRPr="00A73B3A">
        <w:t>Leverage data already present in the EHR to reduce re-documentation in the clinical note</w:t>
      </w:r>
      <w:r w:rsidR="00DA39EE">
        <w:t xml:space="preserve">. </w:t>
      </w:r>
    </w:p>
    <w:p w14:paraId="63B49955" w14:textId="0B6A0C68" w:rsidR="00A759B7" w:rsidRDefault="004E3085" w:rsidP="005E0CB5">
      <w:pPr>
        <w:pStyle w:val="Default"/>
        <w:rPr>
          <w:color w:val="auto"/>
          <w:sz w:val="22"/>
          <w:szCs w:val="22"/>
        </w:rPr>
      </w:pPr>
      <w:r w:rsidRPr="005E0CB5">
        <w:rPr>
          <w:color w:val="auto"/>
          <w:sz w:val="22"/>
          <w:szCs w:val="22"/>
        </w:rPr>
        <w:t>N</w:t>
      </w:r>
      <w:r w:rsidR="0070550B" w:rsidRPr="005E0CB5">
        <w:rPr>
          <w:color w:val="auto"/>
          <w:sz w:val="22"/>
          <w:szCs w:val="22"/>
        </w:rPr>
        <w:t xml:space="preserve">eed more clarity on how </w:t>
      </w:r>
      <w:r w:rsidR="00E619E9" w:rsidRPr="005E0CB5">
        <w:rPr>
          <w:color w:val="auto"/>
          <w:sz w:val="22"/>
          <w:szCs w:val="22"/>
        </w:rPr>
        <w:t xml:space="preserve">EHRs should leverage data already present. Is there a </w:t>
      </w:r>
      <w:r w:rsidR="00F81946" w:rsidRPr="005E0CB5">
        <w:rPr>
          <w:color w:val="auto"/>
          <w:sz w:val="22"/>
          <w:szCs w:val="22"/>
        </w:rPr>
        <w:t xml:space="preserve">contradiction of terms here with </w:t>
      </w:r>
      <w:r w:rsidR="009811BC" w:rsidRPr="005E0CB5">
        <w:rPr>
          <w:color w:val="auto"/>
          <w:sz w:val="22"/>
          <w:szCs w:val="22"/>
        </w:rPr>
        <w:t>anti-cloning initiative for EHRs?</w:t>
      </w:r>
      <w:r w:rsidR="00200C16" w:rsidRPr="005E0CB5">
        <w:rPr>
          <w:color w:val="auto"/>
          <w:sz w:val="22"/>
          <w:szCs w:val="22"/>
        </w:rPr>
        <w:t xml:space="preserve"> This recommendation is high level and vague regarding details of </w:t>
      </w:r>
      <w:r w:rsidR="00A759B7" w:rsidRPr="005E0CB5">
        <w:rPr>
          <w:color w:val="auto"/>
          <w:sz w:val="22"/>
          <w:szCs w:val="22"/>
        </w:rPr>
        <w:t>a new “review and verification process” a</w:t>
      </w:r>
      <w:r w:rsidR="00D20EAD" w:rsidRPr="005E0CB5">
        <w:rPr>
          <w:color w:val="auto"/>
          <w:sz w:val="22"/>
          <w:szCs w:val="22"/>
        </w:rPr>
        <w:t>nd</w:t>
      </w:r>
      <w:r w:rsidR="00A759B7" w:rsidRPr="005E0CB5">
        <w:rPr>
          <w:color w:val="auto"/>
          <w:sz w:val="22"/>
          <w:szCs w:val="22"/>
        </w:rPr>
        <w:t xml:space="preserve"> new “audit functionality”</w:t>
      </w:r>
      <w:r w:rsidR="00D20EAD" w:rsidRPr="005E0CB5">
        <w:rPr>
          <w:color w:val="auto"/>
          <w:sz w:val="22"/>
          <w:szCs w:val="22"/>
        </w:rPr>
        <w:t>.</w:t>
      </w:r>
      <w:r w:rsidR="00CC4930" w:rsidRPr="005E0CB5">
        <w:rPr>
          <w:color w:val="auto"/>
          <w:sz w:val="22"/>
          <w:szCs w:val="22"/>
        </w:rPr>
        <w:t xml:space="preserve"> </w:t>
      </w:r>
    </w:p>
    <w:p w14:paraId="7E6AA255" w14:textId="77777777" w:rsidR="00641DFF" w:rsidRPr="005E0CB5" w:rsidRDefault="00641DFF" w:rsidP="005E0CB5">
      <w:pPr>
        <w:pStyle w:val="Default"/>
        <w:rPr>
          <w:color w:val="auto"/>
          <w:sz w:val="22"/>
          <w:szCs w:val="22"/>
        </w:rPr>
      </w:pPr>
    </w:p>
    <w:p w14:paraId="614F1480" w14:textId="54D5768B" w:rsidR="008F1A01" w:rsidRDefault="001D46F1" w:rsidP="00A759B7">
      <w:r>
        <w:t>-</w:t>
      </w:r>
      <w:r w:rsidR="008F1A01">
        <w:t xml:space="preserve"> </w:t>
      </w:r>
      <w:r w:rsidR="00BD3652" w:rsidRPr="00BD3652">
        <w:t>Obtain ongoing stakeholder input about updates to documentation requirements.</w:t>
      </w:r>
    </w:p>
    <w:p w14:paraId="027BD5F1" w14:textId="21B73153" w:rsidR="00BD3652" w:rsidRPr="005E0CB5" w:rsidRDefault="009B5184" w:rsidP="005E0CB5">
      <w:pPr>
        <w:pStyle w:val="Default"/>
        <w:rPr>
          <w:color w:val="auto"/>
          <w:sz w:val="22"/>
          <w:szCs w:val="22"/>
        </w:rPr>
      </w:pPr>
      <w:r w:rsidRPr="005E0CB5">
        <w:rPr>
          <w:color w:val="auto"/>
          <w:sz w:val="22"/>
          <w:szCs w:val="22"/>
        </w:rPr>
        <w:t>We a</w:t>
      </w:r>
      <w:r w:rsidR="00DE2DF0" w:rsidRPr="005E0CB5">
        <w:rPr>
          <w:color w:val="auto"/>
          <w:sz w:val="22"/>
          <w:szCs w:val="22"/>
        </w:rPr>
        <w:t>gree with this recommendation</w:t>
      </w:r>
      <w:r w:rsidR="00E15F1A" w:rsidRPr="005E0CB5">
        <w:rPr>
          <w:color w:val="auto"/>
          <w:sz w:val="22"/>
          <w:szCs w:val="22"/>
        </w:rPr>
        <w:t xml:space="preserve"> and encourage the Administration to be </w:t>
      </w:r>
      <w:r w:rsidR="008B1256" w:rsidRPr="005E0CB5">
        <w:rPr>
          <w:color w:val="auto"/>
          <w:sz w:val="22"/>
          <w:szCs w:val="22"/>
        </w:rPr>
        <w:t xml:space="preserve">broadly </w:t>
      </w:r>
      <w:r w:rsidR="00DC5394" w:rsidRPr="005E0CB5">
        <w:rPr>
          <w:color w:val="auto"/>
          <w:sz w:val="22"/>
          <w:szCs w:val="22"/>
        </w:rPr>
        <w:t xml:space="preserve">inclusive and make sure grassroots stakeholders are included. </w:t>
      </w:r>
      <w:r w:rsidR="009435FF" w:rsidRPr="005E0CB5">
        <w:rPr>
          <w:color w:val="auto"/>
          <w:sz w:val="22"/>
          <w:szCs w:val="22"/>
        </w:rPr>
        <w:t>Traditionally</w:t>
      </w:r>
      <w:r w:rsidR="00DC5394" w:rsidRPr="005E0CB5">
        <w:rPr>
          <w:color w:val="auto"/>
          <w:sz w:val="22"/>
          <w:szCs w:val="22"/>
        </w:rPr>
        <w:t xml:space="preserve"> </w:t>
      </w:r>
      <w:r w:rsidR="00D51C87" w:rsidRPr="005E0CB5">
        <w:rPr>
          <w:color w:val="auto"/>
          <w:sz w:val="22"/>
          <w:szCs w:val="22"/>
        </w:rPr>
        <w:t xml:space="preserve">input is </w:t>
      </w:r>
      <w:r w:rsidR="005D5E15" w:rsidRPr="005E0CB5">
        <w:rPr>
          <w:color w:val="auto"/>
          <w:sz w:val="22"/>
          <w:szCs w:val="22"/>
        </w:rPr>
        <w:t>obtained</w:t>
      </w:r>
      <w:r w:rsidR="00D51C87" w:rsidRPr="005E0CB5">
        <w:rPr>
          <w:color w:val="auto"/>
          <w:sz w:val="22"/>
          <w:szCs w:val="22"/>
        </w:rPr>
        <w:t xml:space="preserve"> </w:t>
      </w:r>
      <w:r w:rsidR="00700083" w:rsidRPr="005E0CB5">
        <w:rPr>
          <w:color w:val="auto"/>
          <w:sz w:val="22"/>
          <w:szCs w:val="22"/>
        </w:rPr>
        <w:t>mostly</w:t>
      </w:r>
      <w:r w:rsidR="00D51C87" w:rsidRPr="005E0CB5">
        <w:rPr>
          <w:color w:val="auto"/>
          <w:sz w:val="22"/>
          <w:szCs w:val="22"/>
        </w:rPr>
        <w:t xml:space="preserve"> from larger</w:t>
      </w:r>
      <w:r w:rsidR="005D5E15" w:rsidRPr="005E0CB5">
        <w:rPr>
          <w:color w:val="auto"/>
          <w:sz w:val="22"/>
          <w:szCs w:val="22"/>
        </w:rPr>
        <w:t xml:space="preserve"> more advanced organizations</w:t>
      </w:r>
      <w:r w:rsidR="00700083" w:rsidRPr="005E0CB5">
        <w:rPr>
          <w:color w:val="auto"/>
          <w:sz w:val="22"/>
          <w:szCs w:val="22"/>
        </w:rPr>
        <w:t>.</w:t>
      </w:r>
      <w:r w:rsidR="006A6F45" w:rsidRPr="005E0CB5">
        <w:rPr>
          <w:color w:val="auto"/>
          <w:sz w:val="22"/>
          <w:szCs w:val="22"/>
        </w:rPr>
        <w:t xml:space="preserve"> </w:t>
      </w:r>
      <w:r w:rsidR="00A54E4F" w:rsidRPr="005E0CB5">
        <w:rPr>
          <w:color w:val="auto"/>
          <w:sz w:val="22"/>
          <w:szCs w:val="22"/>
        </w:rPr>
        <w:t xml:space="preserve">Small community based primary care providers typically find the </w:t>
      </w:r>
      <w:r w:rsidR="00047A92" w:rsidRPr="005E0CB5">
        <w:rPr>
          <w:color w:val="auto"/>
          <w:sz w:val="22"/>
          <w:szCs w:val="22"/>
        </w:rPr>
        <w:t>standards develop expensive and hard to deploy and usually find the incentives offered don’t offset the lost revenue from decreased productivity and the loss for complying with the requirements.</w:t>
      </w:r>
    </w:p>
    <w:p w14:paraId="0BEBFDF8" w14:textId="77777777" w:rsidR="00C558CB" w:rsidRDefault="00C558CB" w:rsidP="00A759B7"/>
    <w:p w14:paraId="22E94977" w14:textId="28A6FC89" w:rsidR="006239E0" w:rsidRDefault="006239E0" w:rsidP="006239E0">
      <w:pPr>
        <w:pStyle w:val="Default"/>
        <w:rPr>
          <w:color w:val="auto"/>
          <w:sz w:val="22"/>
          <w:szCs w:val="22"/>
        </w:rPr>
      </w:pPr>
      <w:r w:rsidRPr="005E0CB5">
        <w:rPr>
          <w:color w:val="auto"/>
          <w:sz w:val="22"/>
          <w:szCs w:val="22"/>
        </w:rPr>
        <w:t xml:space="preserve">- </w:t>
      </w:r>
      <w:r>
        <w:rPr>
          <w:color w:val="auto"/>
          <w:sz w:val="22"/>
          <w:szCs w:val="22"/>
        </w:rPr>
        <w:t>Waive documentation requirements as may be necessary for purposes of testing or administering APMs.</w:t>
      </w:r>
    </w:p>
    <w:p w14:paraId="6387F71B" w14:textId="77777777" w:rsidR="00483F5F" w:rsidRPr="005E0CB5" w:rsidRDefault="00C558CB" w:rsidP="00483F5F">
      <w:pPr>
        <w:pStyle w:val="Default"/>
        <w:rPr>
          <w:color w:val="auto"/>
          <w:sz w:val="22"/>
          <w:szCs w:val="22"/>
        </w:rPr>
      </w:pPr>
      <w:r w:rsidRPr="005E0CB5">
        <w:rPr>
          <w:color w:val="auto"/>
          <w:sz w:val="22"/>
          <w:szCs w:val="22"/>
        </w:rPr>
        <w:t>Suggests guiding intent but the implementation will occur at some point in the future. – And only for those able to participate in APMs which are too cumbersome and expensive for smaller practices.</w:t>
      </w:r>
    </w:p>
    <w:p w14:paraId="47C0D429" w14:textId="77777777" w:rsidR="00483F5F" w:rsidRDefault="00483F5F" w:rsidP="00483F5F">
      <w:pPr>
        <w:pStyle w:val="Default"/>
        <w:rPr>
          <w:color w:val="auto"/>
          <w:sz w:val="22"/>
          <w:szCs w:val="22"/>
        </w:rPr>
      </w:pPr>
    </w:p>
    <w:p w14:paraId="5BE88C62" w14:textId="4FD5C2BA" w:rsidR="00483F5F" w:rsidRDefault="00483F5F" w:rsidP="00483F5F">
      <w:pPr>
        <w:pStyle w:val="Default"/>
        <w:rPr>
          <w:color w:val="auto"/>
          <w:sz w:val="22"/>
          <w:szCs w:val="22"/>
        </w:rPr>
      </w:pPr>
      <w:r>
        <w:rPr>
          <w:color w:val="auto"/>
          <w:sz w:val="22"/>
          <w:szCs w:val="22"/>
        </w:rPr>
        <w:t>-  Partner with clinical stakeholders to encourage adoption of best practices related to documentation requirements.</w:t>
      </w:r>
    </w:p>
    <w:p w14:paraId="569C36A1" w14:textId="63ED6C20" w:rsidR="00483F5F" w:rsidRPr="003F1ACD" w:rsidRDefault="00483F5F" w:rsidP="00483F5F">
      <w:pPr>
        <w:pStyle w:val="Default"/>
        <w:rPr>
          <w:color w:val="auto"/>
          <w:sz w:val="22"/>
          <w:szCs w:val="22"/>
        </w:rPr>
      </w:pPr>
      <w:r>
        <w:rPr>
          <w:color w:val="auto"/>
          <w:sz w:val="22"/>
          <w:szCs w:val="22"/>
        </w:rPr>
        <w:t>We recommend that you partner not only with</w:t>
      </w:r>
      <w:r w:rsidRPr="00483F5F">
        <w:rPr>
          <w:color w:val="auto"/>
          <w:sz w:val="22"/>
          <w:szCs w:val="22"/>
        </w:rPr>
        <w:t xml:space="preserve"> ivory tower (academic physicians) </w:t>
      </w:r>
      <w:r>
        <w:rPr>
          <w:color w:val="auto"/>
          <w:sz w:val="22"/>
          <w:szCs w:val="22"/>
        </w:rPr>
        <w:t>but</w:t>
      </w:r>
      <w:r w:rsidRPr="00483F5F">
        <w:rPr>
          <w:color w:val="auto"/>
          <w:sz w:val="22"/>
          <w:szCs w:val="22"/>
        </w:rPr>
        <w:t xml:space="preserve"> include the grassroots healthcare providers. </w:t>
      </w:r>
      <w:r>
        <w:rPr>
          <w:color w:val="auto"/>
          <w:sz w:val="22"/>
          <w:szCs w:val="22"/>
        </w:rPr>
        <w:t xml:space="preserve">Be inclusive. Consider </w:t>
      </w:r>
      <w:r w:rsidRPr="00483F5F">
        <w:rPr>
          <w:color w:val="auto"/>
          <w:sz w:val="22"/>
          <w:szCs w:val="22"/>
        </w:rPr>
        <w:t>best practice</w:t>
      </w:r>
      <w:r>
        <w:rPr>
          <w:color w:val="auto"/>
          <w:sz w:val="22"/>
          <w:szCs w:val="22"/>
        </w:rPr>
        <w:t>s</w:t>
      </w:r>
      <w:r w:rsidRPr="00483F5F">
        <w:rPr>
          <w:color w:val="auto"/>
          <w:sz w:val="22"/>
          <w:szCs w:val="22"/>
        </w:rPr>
        <w:t xml:space="preserve"> account for the different </w:t>
      </w:r>
      <w:r w:rsidR="001B20E0" w:rsidRPr="00483F5F">
        <w:rPr>
          <w:color w:val="auto"/>
          <w:sz w:val="22"/>
          <w:szCs w:val="22"/>
        </w:rPr>
        <w:t>specialties’</w:t>
      </w:r>
      <w:r w:rsidRPr="00483F5F">
        <w:rPr>
          <w:color w:val="auto"/>
          <w:sz w:val="22"/>
          <w:szCs w:val="22"/>
        </w:rPr>
        <w:t xml:space="preserve"> requirements.</w:t>
      </w:r>
      <w:r w:rsidR="001B20E0">
        <w:rPr>
          <w:color w:val="auto"/>
          <w:sz w:val="22"/>
          <w:szCs w:val="22"/>
        </w:rPr>
        <w:t xml:space="preserve"> This recommendation </w:t>
      </w:r>
      <w:r w:rsidR="001B20E0" w:rsidRPr="003F1ACD">
        <w:rPr>
          <w:color w:val="auto"/>
          <w:sz w:val="22"/>
          <w:szCs w:val="22"/>
        </w:rPr>
        <w:t>anticipates endorsement and implementation of best documentation practices at some point in the future</w:t>
      </w:r>
      <w:r w:rsidR="00830A9F" w:rsidRPr="003F1ACD">
        <w:rPr>
          <w:color w:val="auto"/>
          <w:sz w:val="22"/>
          <w:szCs w:val="22"/>
        </w:rPr>
        <w:t>.</w:t>
      </w:r>
    </w:p>
    <w:p w14:paraId="64DD195A" w14:textId="77777777" w:rsidR="00972011" w:rsidRPr="005E0CB5" w:rsidRDefault="00972011" w:rsidP="005E0CB5">
      <w:pPr>
        <w:pStyle w:val="Default"/>
        <w:rPr>
          <w:color w:val="auto"/>
          <w:sz w:val="22"/>
          <w:szCs w:val="22"/>
        </w:rPr>
      </w:pPr>
      <w:r w:rsidRPr="005E0CB5">
        <w:rPr>
          <w:color w:val="auto"/>
          <w:sz w:val="22"/>
          <w:szCs w:val="22"/>
        </w:rPr>
        <w:t>This seems to be a long-term strategy which will have little/no immediate impact on burden reduction.</w:t>
      </w:r>
    </w:p>
    <w:p w14:paraId="11228457" w14:textId="77777777" w:rsidR="00972011" w:rsidRPr="005E0CB5" w:rsidRDefault="00972011" w:rsidP="005E0CB5">
      <w:pPr>
        <w:pStyle w:val="Default"/>
        <w:rPr>
          <w:color w:val="auto"/>
          <w:sz w:val="22"/>
          <w:szCs w:val="22"/>
        </w:rPr>
      </w:pPr>
      <w:r w:rsidRPr="005E0CB5">
        <w:rPr>
          <w:color w:val="auto"/>
          <w:sz w:val="22"/>
          <w:szCs w:val="22"/>
        </w:rPr>
        <w:t>Making resources available is not useful unless organizations have incentives to develop "their own initiatives."</w:t>
      </w:r>
    </w:p>
    <w:p w14:paraId="2659FA1E" w14:textId="4B0F944E" w:rsidR="00972011" w:rsidRDefault="00972011" w:rsidP="00483F5F">
      <w:pPr>
        <w:pStyle w:val="Default"/>
        <w:rPr>
          <w:color w:val="auto"/>
          <w:sz w:val="22"/>
          <w:szCs w:val="22"/>
        </w:rPr>
      </w:pPr>
    </w:p>
    <w:p w14:paraId="2FB944F6" w14:textId="76AA58B8" w:rsidR="005D58E0" w:rsidRDefault="005D58E0" w:rsidP="00483F5F">
      <w:pPr>
        <w:pStyle w:val="Default"/>
        <w:rPr>
          <w:color w:val="auto"/>
          <w:sz w:val="22"/>
          <w:szCs w:val="22"/>
        </w:rPr>
      </w:pPr>
      <w:r>
        <w:rPr>
          <w:color w:val="auto"/>
          <w:sz w:val="22"/>
          <w:szCs w:val="22"/>
        </w:rPr>
        <w:t xml:space="preserve"> </w:t>
      </w:r>
      <w:r w:rsidR="00596EB9">
        <w:rPr>
          <w:color w:val="auto"/>
          <w:sz w:val="22"/>
          <w:szCs w:val="22"/>
        </w:rPr>
        <w:t>-</w:t>
      </w:r>
      <w:r>
        <w:rPr>
          <w:color w:val="auto"/>
          <w:sz w:val="22"/>
          <w:szCs w:val="22"/>
        </w:rPr>
        <w:t xml:space="preserve"> Leverage health IT </w:t>
      </w:r>
      <w:r w:rsidR="00596EB9" w:rsidRPr="00596EB9">
        <w:rPr>
          <w:color w:val="auto"/>
          <w:sz w:val="22"/>
          <w:szCs w:val="22"/>
        </w:rPr>
        <w:t>to standardize data and processes around ordering services and related prior authorization processes.</w:t>
      </w:r>
    </w:p>
    <w:p w14:paraId="001A9025" w14:textId="2523E5B8" w:rsidR="00596EB9" w:rsidRDefault="00C74428" w:rsidP="00483F5F">
      <w:pPr>
        <w:pStyle w:val="Default"/>
        <w:rPr>
          <w:color w:val="auto"/>
          <w:sz w:val="22"/>
          <w:szCs w:val="22"/>
        </w:rPr>
      </w:pPr>
      <w:r w:rsidRPr="00C74428">
        <w:rPr>
          <w:color w:val="auto"/>
          <w:sz w:val="22"/>
          <w:szCs w:val="22"/>
        </w:rPr>
        <w:t xml:space="preserve">HHS should ensure that all stakeholders input </w:t>
      </w:r>
      <w:r>
        <w:rPr>
          <w:color w:val="auto"/>
          <w:sz w:val="22"/>
          <w:szCs w:val="22"/>
        </w:rPr>
        <w:t xml:space="preserve">is included </w:t>
      </w:r>
      <w:r w:rsidRPr="00C74428">
        <w:rPr>
          <w:color w:val="auto"/>
          <w:sz w:val="22"/>
          <w:szCs w:val="22"/>
        </w:rPr>
        <w:t>when developing best practices for optimizing electronic workflows.</w:t>
      </w:r>
      <w:r w:rsidR="00893126">
        <w:rPr>
          <w:color w:val="auto"/>
          <w:sz w:val="22"/>
          <w:szCs w:val="22"/>
        </w:rPr>
        <w:t xml:space="preserve"> </w:t>
      </w:r>
    </w:p>
    <w:p w14:paraId="6D307FC9" w14:textId="4F631792" w:rsidR="00893126" w:rsidRPr="005E0CB5" w:rsidRDefault="00893126" w:rsidP="00483F5F">
      <w:pPr>
        <w:pStyle w:val="Default"/>
        <w:rPr>
          <w:color w:val="auto"/>
          <w:sz w:val="22"/>
          <w:szCs w:val="22"/>
        </w:rPr>
      </w:pPr>
      <w:r w:rsidRPr="005E0CB5">
        <w:rPr>
          <w:color w:val="auto"/>
          <w:sz w:val="22"/>
          <w:szCs w:val="22"/>
        </w:rPr>
        <w:t>MedInformatix supports making transparent the clinical and coverage guidelines used by payers during the review of a prior authorization request.</w:t>
      </w:r>
      <w:r w:rsidR="006A0460" w:rsidRPr="005E0CB5">
        <w:rPr>
          <w:color w:val="auto"/>
          <w:sz w:val="22"/>
          <w:szCs w:val="22"/>
        </w:rPr>
        <w:t xml:space="preserve"> </w:t>
      </w:r>
      <w:r w:rsidR="00D65C0D" w:rsidRPr="005E0CB5">
        <w:rPr>
          <w:color w:val="auto"/>
          <w:sz w:val="22"/>
          <w:szCs w:val="22"/>
        </w:rPr>
        <w:t xml:space="preserve">We recommend </w:t>
      </w:r>
      <w:r w:rsidR="003D222B" w:rsidRPr="005E0CB5">
        <w:rPr>
          <w:color w:val="auto"/>
          <w:sz w:val="22"/>
          <w:szCs w:val="22"/>
        </w:rPr>
        <w:t>the standardization of the payer industry first and then the rest of the industry can follow that standard.</w:t>
      </w:r>
      <w:r w:rsidR="002C09E5" w:rsidRPr="005E0CB5">
        <w:rPr>
          <w:color w:val="auto"/>
          <w:sz w:val="22"/>
          <w:szCs w:val="22"/>
        </w:rPr>
        <w:t xml:space="preserve"> </w:t>
      </w:r>
      <w:r w:rsidR="00590859" w:rsidRPr="005E0CB5">
        <w:rPr>
          <w:color w:val="auto"/>
          <w:sz w:val="22"/>
          <w:szCs w:val="22"/>
        </w:rPr>
        <w:t xml:space="preserve">If </w:t>
      </w:r>
      <w:r w:rsidR="00D77532" w:rsidRPr="005E0CB5">
        <w:rPr>
          <w:color w:val="auto"/>
          <w:sz w:val="22"/>
          <w:szCs w:val="22"/>
        </w:rPr>
        <w:t>not</w:t>
      </w:r>
      <w:r w:rsidR="00D67FDA">
        <w:rPr>
          <w:color w:val="auto"/>
          <w:sz w:val="22"/>
          <w:szCs w:val="22"/>
        </w:rPr>
        <w:t>,</w:t>
      </w:r>
      <w:r w:rsidR="00590859" w:rsidRPr="005E0CB5">
        <w:rPr>
          <w:color w:val="auto"/>
          <w:sz w:val="22"/>
          <w:szCs w:val="22"/>
        </w:rPr>
        <w:t xml:space="preserve"> all payers follow the same electronic standard</w:t>
      </w:r>
      <w:r w:rsidR="00D67FDA">
        <w:rPr>
          <w:color w:val="auto"/>
          <w:sz w:val="22"/>
          <w:szCs w:val="22"/>
        </w:rPr>
        <w:t>,</w:t>
      </w:r>
      <w:r w:rsidR="00B37A9E" w:rsidRPr="005E0CB5">
        <w:rPr>
          <w:color w:val="auto"/>
          <w:sz w:val="22"/>
          <w:szCs w:val="22"/>
        </w:rPr>
        <w:t xml:space="preserve"> then this will become a burden to EHR vendors</w:t>
      </w:r>
      <w:r w:rsidR="005D178E" w:rsidRPr="005E0CB5">
        <w:rPr>
          <w:color w:val="auto"/>
          <w:sz w:val="22"/>
          <w:szCs w:val="22"/>
        </w:rPr>
        <w:t xml:space="preserve"> </w:t>
      </w:r>
      <w:r w:rsidR="00B37A9E" w:rsidRPr="005E0CB5">
        <w:rPr>
          <w:color w:val="auto"/>
          <w:sz w:val="22"/>
          <w:szCs w:val="22"/>
        </w:rPr>
        <w:t>and p</w:t>
      </w:r>
      <w:r w:rsidR="00492A3A" w:rsidRPr="005E0CB5">
        <w:rPr>
          <w:color w:val="auto"/>
          <w:sz w:val="22"/>
          <w:szCs w:val="22"/>
        </w:rPr>
        <w:t>hysicians as well.</w:t>
      </w:r>
    </w:p>
    <w:p w14:paraId="70DC595C" w14:textId="2E688A40" w:rsidR="00D77532" w:rsidRPr="005E0CB5" w:rsidRDefault="00D77532" w:rsidP="005E0CB5">
      <w:pPr>
        <w:pStyle w:val="Default"/>
        <w:rPr>
          <w:color w:val="auto"/>
          <w:sz w:val="22"/>
          <w:szCs w:val="22"/>
        </w:rPr>
      </w:pPr>
      <w:r w:rsidRPr="005E0CB5">
        <w:rPr>
          <w:color w:val="auto"/>
          <w:sz w:val="22"/>
          <w:szCs w:val="22"/>
        </w:rPr>
        <w:t>When will the industry see a rule indicating an adopted standard for claims attachments? This will allow industry to move forward in automating PA processes and exchange of clinical data.</w:t>
      </w:r>
      <w:r w:rsidRPr="00981E3B">
        <w:t xml:space="preserve"> </w:t>
      </w:r>
      <w:r w:rsidRPr="005E0CB5">
        <w:rPr>
          <w:color w:val="auto"/>
          <w:sz w:val="22"/>
          <w:szCs w:val="22"/>
        </w:rPr>
        <w:t>This recommendation is high level and needs to be more specific on how HHS intends to work with the industry to expand the work on automating PA processes.</w:t>
      </w:r>
    </w:p>
    <w:p w14:paraId="505D06CC" w14:textId="108AC01C" w:rsidR="00D77532" w:rsidRPr="005E0CB5" w:rsidRDefault="00D74EEC" w:rsidP="005E0CB5">
      <w:pPr>
        <w:pStyle w:val="Default"/>
        <w:rPr>
          <w:color w:val="auto"/>
          <w:sz w:val="22"/>
          <w:szCs w:val="22"/>
        </w:rPr>
      </w:pPr>
      <w:r w:rsidRPr="005E0CB5">
        <w:rPr>
          <w:color w:val="auto"/>
          <w:sz w:val="22"/>
          <w:szCs w:val="22"/>
        </w:rPr>
        <w:lastRenderedPageBreak/>
        <w:t>MedInformatix doesn’t</w:t>
      </w:r>
      <w:r w:rsidR="00D77532" w:rsidRPr="005E0CB5">
        <w:rPr>
          <w:color w:val="auto"/>
          <w:sz w:val="22"/>
          <w:szCs w:val="22"/>
        </w:rPr>
        <w:t xml:space="preserve"> believe t</w:t>
      </w:r>
      <w:r w:rsidRPr="005E0CB5">
        <w:rPr>
          <w:color w:val="auto"/>
          <w:sz w:val="22"/>
          <w:szCs w:val="22"/>
        </w:rPr>
        <w:t>his recommendation</w:t>
      </w:r>
      <w:r w:rsidR="00D77532" w:rsidRPr="005E0CB5">
        <w:rPr>
          <w:color w:val="auto"/>
          <w:sz w:val="22"/>
          <w:szCs w:val="22"/>
        </w:rPr>
        <w:t xml:space="preserve"> has immediate impact on burden reduction – it will require more than just "partnering."</w:t>
      </w:r>
    </w:p>
    <w:p w14:paraId="6F0A1534" w14:textId="5A5EC242" w:rsidR="00D77532" w:rsidRDefault="00D77532" w:rsidP="00483F5F">
      <w:pPr>
        <w:pStyle w:val="Default"/>
        <w:rPr>
          <w:color w:val="auto"/>
          <w:sz w:val="22"/>
          <w:szCs w:val="22"/>
        </w:rPr>
      </w:pPr>
    </w:p>
    <w:p w14:paraId="004F45AE" w14:textId="0E5690A6" w:rsidR="005E0CB5" w:rsidRDefault="005E0CB5" w:rsidP="00483F5F">
      <w:pPr>
        <w:pStyle w:val="Default"/>
        <w:rPr>
          <w:color w:val="auto"/>
          <w:sz w:val="22"/>
          <w:szCs w:val="22"/>
        </w:rPr>
      </w:pPr>
      <w:r w:rsidRPr="005E0CB5">
        <w:rPr>
          <w:color w:val="auto"/>
          <w:sz w:val="22"/>
          <w:szCs w:val="22"/>
        </w:rPr>
        <w:t>Incentivize adoption of technology which can generate and exchange standardized data supporting documentation needs for ordering and prior authorization processes.</w:t>
      </w:r>
      <w:r>
        <w:rPr>
          <w:color w:val="auto"/>
          <w:sz w:val="22"/>
          <w:szCs w:val="22"/>
        </w:rPr>
        <w:t xml:space="preserve"> This is a </w:t>
      </w:r>
      <w:r w:rsidR="001D278C">
        <w:rPr>
          <w:color w:val="auto"/>
          <w:sz w:val="22"/>
          <w:szCs w:val="22"/>
        </w:rPr>
        <w:t>high-level</w:t>
      </w:r>
      <w:r w:rsidR="001D278C" w:rsidRPr="001D278C">
        <w:rPr>
          <w:color w:val="auto"/>
          <w:sz w:val="22"/>
          <w:szCs w:val="22"/>
        </w:rPr>
        <w:t xml:space="preserve"> recommendation </w:t>
      </w:r>
      <w:r w:rsidR="00E32CE7">
        <w:rPr>
          <w:color w:val="auto"/>
          <w:sz w:val="22"/>
          <w:szCs w:val="22"/>
        </w:rPr>
        <w:t>with no immediate impact on burden reduction</w:t>
      </w:r>
      <w:r w:rsidR="006915BE">
        <w:rPr>
          <w:color w:val="auto"/>
          <w:sz w:val="22"/>
          <w:szCs w:val="22"/>
        </w:rPr>
        <w:t>. W</w:t>
      </w:r>
      <w:r w:rsidR="001D278C" w:rsidRPr="001D278C">
        <w:rPr>
          <w:color w:val="auto"/>
          <w:sz w:val="22"/>
          <w:szCs w:val="22"/>
        </w:rPr>
        <w:t xml:space="preserve">e don’t know what types of incentives </w:t>
      </w:r>
      <w:r w:rsidR="001D278C">
        <w:rPr>
          <w:color w:val="auto"/>
          <w:sz w:val="22"/>
          <w:szCs w:val="22"/>
        </w:rPr>
        <w:t>HHS is</w:t>
      </w:r>
      <w:r w:rsidR="001D278C" w:rsidRPr="001D278C">
        <w:rPr>
          <w:color w:val="auto"/>
          <w:sz w:val="22"/>
          <w:szCs w:val="22"/>
        </w:rPr>
        <w:t xml:space="preserve"> considering. In general, it’s a good thing to provide incentives/help to an already burdened industry.</w:t>
      </w:r>
      <w:r w:rsidR="00787C10">
        <w:rPr>
          <w:color w:val="auto"/>
          <w:sz w:val="22"/>
          <w:szCs w:val="22"/>
        </w:rPr>
        <w:t xml:space="preserve"> </w:t>
      </w:r>
    </w:p>
    <w:p w14:paraId="29F7F9BC" w14:textId="29347B70" w:rsidR="006B4426" w:rsidRDefault="006B4426" w:rsidP="00483F5F">
      <w:pPr>
        <w:pStyle w:val="Default"/>
        <w:rPr>
          <w:color w:val="auto"/>
          <w:sz w:val="22"/>
          <w:szCs w:val="22"/>
        </w:rPr>
      </w:pPr>
    </w:p>
    <w:p w14:paraId="6CD03D2B" w14:textId="2457D8CD" w:rsidR="009734FA" w:rsidRPr="00BE6179" w:rsidRDefault="009734FA" w:rsidP="00BE6179">
      <w:pPr>
        <w:pStyle w:val="NoSpacing"/>
      </w:pPr>
      <w:r w:rsidRPr="00BE6179">
        <w:t>MedInformatix supports pilots’ efforts across different stakeholders to validate the functionality of the standard and the ROI as well as assist in accelerating adoption.</w:t>
      </w:r>
      <w:r w:rsidR="00CE00B0" w:rsidRPr="00BE6179">
        <w:t xml:space="preserve"> Recommends that ONC </w:t>
      </w:r>
      <w:r w:rsidR="007A12EE" w:rsidRPr="00BE6179">
        <w:t xml:space="preserve">ensures </w:t>
      </w:r>
      <w:r w:rsidR="00A10458" w:rsidRPr="00BE6179">
        <w:t>that small</w:t>
      </w:r>
      <w:r w:rsidR="00D437E1" w:rsidRPr="00BE6179">
        <w:t>/medium</w:t>
      </w:r>
      <w:r w:rsidR="00A10458" w:rsidRPr="00BE6179">
        <w:t xml:space="preserve"> organizations be included in the pilots. </w:t>
      </w:r>
      <w:r w:rsidR="00D437E1" w:rsidRPr="00BE6179">
        <w:t>Usually these p</w:t>
      </w:r>
      <w:r w:rsidR="00CE00B0" w:rsidRPr="00BE6179">
        <w:t xml:space="preserve">ilots </w:t>
      </w:r>
      <w:r w:rsidR="00D437E1" w:rsidRPr="00BE6179">
        <w:t>are</w:t>
      </w:r>
      <w:r w:rsidR="007A12EE" w:rsidRPr="00BE6179">
        <w:t xml:space="preserve"> opened</w:t>
      </w:r>
      <w:r w:rsidR="00CE00B0" w:rsidRPr="00BE6179">
        <w:t xml:space="preserve"> to large EHRs and the small guys can’t participate in </w:t>
      </w:r>
      <w:r w:rsidR="00D437E1" w:rsidRPr="00BE6179">
        <w:t>them.</w:t>
      </w:r>
    </w:p>
    <w:p w14:paraId="5924FABA" w14:textId="2E759B51" w:rsidR="002243BD" w:rsidRPr="00BE6179" w:rsidRDefault="002243BD" w:rsidP="009734FA">
      <w:pPr>
        <w:rPr>
          <w:rFonts w:ascii="Calibri" w:hAnsi="Calibri" w:cs="Calibri"/>
        </w:rPr>
      </w:pPr>
    </w:p>
    <w:p w14:paraId="70D4406C" w14:textId="5F3B0B15" w:rsidR="00BE6179" w:rsidRDefault="00BE6179" w:rsidP="00BE6179">
      <w:pPr>
        <w:pStyle w:val="NoSpacing"/>
      </w:pPr>
      <w:r w:rsidRPr="00BE6179">
        <w:t>MedInformatix agrees that HHS should pursue consensus through NCVHS to adopt mature standards that support PA. We must ensure an industry wide implementation of these standards to minimize lack of adoption.</w:t>
      </w:r>
    </w:p>
    <w:p w14:paraId="77251B76" w14:textId="11452F6B" w:rsidR="000014F1" w:rsidRPr="00BE6179" w:rsidRDefault="000014F1" w:rsidP="00BE6179">
      <w:pPr>
        <w:pStyle w:val="NoSpacing"/>
      </w:pPr>
      <w:r>
        <w:t xml:space="preserve">The recommendation </w:t>
      </w:r>
      <w:r w:rsidR="00B84EA2">
        <w:t>a</w:t>
      </w:r>
      <w:r w:rsidR="00B84EA2" w:rsidRPr="0082141D">
        <w:rPr>
          <w:sz w:val="24"/>
        </w:rPr>
        <w:t>nticipates</w:t>
      </w:r>
      <w:r w:rsidRPr="0082141D">
        <w:rPr>
          <w:sz w:val="24"/>
        </w:rPr>
        <w:t xml:space="preserve"> development, maturity and consensus adoption of new standards and protocols – Likely to have little/no immediate impact</w:t>
      </w:r>
      <w:r w:rsidR="00AA1A98">
        <w:rPr>
          <w:sz w:val="24"/>
        </w:rPr>
        <w:t>.</w:t>
      </w:r>
    </w:p>
    <w:p w14:paraId="5D703EDE" w14:textId="676BA47E" w:rsidR="006B4426" w:rsidRDefault="006B4426" w:rsidP="00483F5F">
      <w:pPr>
        <w:pStyle w:val="Default"/>
        <w:rPr>
          <w:color w:val="auto"/>
          <w:sz w:val="22"/>
          <w:szCs w:val="22"/>
        </w:rPr>
      </w:pPr>
    </w:p>
    <w:p w14:paraId="27927394" w14:textId="79B9BC0C" w:rsidR="00C3611D" w:rsidRDefault="00C3611D" w:rsidP="00483F5F">
      <w:pPr>
        <w:pStyle w:val="Default"/>
        <w:rPr>
          <w:i/>
          <w:color w:val="auto"/>
          <w:sz w:val="22"/>
          <w:szCs w:val="22"/>
          <w:u w:val="single"/>
        </w:rPr>
      </w:pPr>
      <w:r w:rsidRPr="00C3611D">
        <w:rPr>
          <w:i/>
          <w:color w:val="auto"/>
          <w:sz w:val="22"/>
          <w:szCs w:val="22"/>
          <w:u w:val="single"/>
        </w:rPr>
        <w:t>Health IT Usability and the User Experience Strategy</w:t>
      </w:r>
      <w:r>
        <w:rPr>
          <w:i/>
          <w:color w:val="auto"/>
          <w:sz w:val="22"/>
          <w:szCs w:val="22"/>
          <w:u w:val="single"/>
        </w:rPr>
        <w:t>-</w:t>
      </w:r>
    </w:p>
    <w:p w14:paraId="65700E38" w14:textId="16DE6FE9" w:rsidR="00C3611D" w:rsidRDefault="00C3611D" w:rsidP="00483F5F">
      <w:pPr>
        <w:pStyle w:val="Default"/>
        <w:rPr>
          <w:color w:val="auto"/>
          <w:sz w:val="22"/>
          <w:szCs w:val="22"/>
        </w:rPr>
      </w:pPr>
    </w:p>
    <w:p w14:paraId="31DABB96" w14:textId="2AC1B067" w:rsidR="006650BE" w:rsidRDefault="00461DBF" w:rsidP="008E1511">
      <w:pPr>
        <w:pStyle w:val="NoSpacing"/>
      </w:pPr>
      <w:r>
        <w:t>The recommendation to b</w:t>
      </w:r>
      <w:r w:rsidRPr="00461DBF">
        <w:t>etter align EHR system design with real-world clinical workflow</w:t>
      </w:r>
      <w:r w:rsidR="004F12A4">
        <w:t xml:space="preserve"> is a good recommendation but it’s very high level and doesn’t go into the details of how this alignment will occur.</w:t>
      </w:r>
      <w:r w:rsidR="00CF6A87">
        <w:t xml:space="preserve"> </w:t>
      </w:r>
      <w:r w:rsidR="001F4FE4">
        <w:t>Th</w:t>
      </w:r>
      <w:r w:rsidR="00D13609">
        <w:t xml:space="preserve">is encourages the industry to act but there’s no expectation of a federal role. </w:t>
      </w:r>
      <w:r w:rsidR="000B2109">
        <w:t>ONC should include clinical professional societies and SDOs in developing best practices</w:t>
      </w:r>
      <w:r w:rsidR="00D159FD">
        <w:t>.</w:t>
      </w:r>
    </w:p>
    <w:p w14:paraId="7FE755BF" w14:textId="7E9D2B19" w:rsidR="00C07B18" w:rsidRDefault="00C07B18" w:rsidP="008E1511">
      <w:pPr>
        <w:pStyle w:val="NoSpacing"/>
      </w:pPr>
      <w:r>
        <w:t xml:space="preserve">To align the EHR design with the clinical workflow great flexibility is needed for an end user to customize their individual electronic workflow. Real-world clinical workflow is very </w:t>
      </w:r>
      <w:r w:rsidR="00063A6A">
        <w:t>variable</w:t>
      </w:r>
      <w:r>
        <w:t xml:space="preserve">, </w:t>
      </w:r>
      <w:r w:rsidR="00063A6A">
        <w:t>intricate</w:t>
      </w:r>
      <w:r>
        <w:t>, and</w:t>
      </w:r>
      <w:r w:rsidR="00063A6A">
        <w:t xml:space="preserve"> </w:t>
      </w:r>
      <w:r w:rsidR="00063A6A" w:rsidRPr="00063A6A">
        <w:t>nonlinear. It will be very difficult to produce a single ideal workflow which can be used by all practitioners of all specialties in all contexts</w:t>
      </w:r>
      <w:r w:rsidR="00BE4A88">
        <w:t xml:space="preserve"> g</w:t>
      </w:r>
      <w:r w:rsidR="00063A6A" w:rsidRPr="00063A6A">
        <w:t>iven the variability between specialties, between individual clinicians, and even between patients for a given clinician.</w:t>
      </w:r>
      <w:r w:rsidR="001B3D42">
        <w:t xml:space="preserve"> MedInformatix solution is highly customizable to </w:t>
      </w:r>
      <w:r w:rsidR="00B57D1C">
        <w:t xml:space="preserve">reflect </w:t>
      </w:r>
      <w:r w:rsidR="008846C9">
        <w:t>real-world clinical workflow as close as possible.</w:t>
      </w:r>
    </w:p>
    <w:p w14:paraId="6E8B6BFE" w14:textId="778BC5FE" w:rsidR="007B761C" w:rsidRDefault="007B761C" w:rsidP="008E1511">
      <w:pPr>
        <w:pStyle w:val="NoSpacing"/>
      </w:pPr>
    </w:p>
    <w:p w14:paraId="48379244" w14:textId="6689D74B" w:rsidR="00BD3517" w:rsidRDefault="002546EF" w:rsidP="008E1511">
      <w:pPr>
        <w:pStyle w:val="NoSpacing"/>
      </w:pPr>
      <w:r>
        <w:t xml:space="preserve">To resolve the copy/paste issue </w:t>
      </w:r>
      <w:r w:rsidR="00EF5284">
        <w:t xml:space="preserve">we need to appropriately reform </w:t>
      </w:r>
      <w:r>
        <w:t>the documentation regulations required for billing</w:t>
      </w:r>
      <w:r w:rsidR="00EF5284">
        <w:t>. S</w:t>
      </w:r>
      <w:r>
        <w:t xml:space="preserve">pecialty societies, professional boards, and clinicians </w:t>
      </w:r>
      <w:r w:rsidR="00EF5284">
        <w:t xml:space="preserve">should </w:t>
      </w:r>
      <w:r>
        <w:t>define the core clinical information really needed for best clinical care</w:t>
      </w:r>
      <w:r w:rsidR="007F4D32">
        <w:t xml:space="preserve"> then</w:t>
      </w:r>
      <w:r>
        <w:t xml:space="preserve"> much of the</w:t>
      </w:r>
      <w:r w:rsidR="009564A6">
        <w:t xml:space="preserve"> </w:t>
      </w:r>
      <w:r>
        <w:t xml:space="preserve">problem will </w:t>
      </w:r>
      <w:r w:rsidR="007F4D32">
        <w:t xml:space="preserve">be </w:t>
      </w:r>
      <w:r>
        <w:t>resolve</w:t>
      </w:r>
      <w:r w:rsidR="007F4D32">
        <w:t>d.</w:t>
      </w:r>
    </w:p>
    <w:p w14:paraId="511551DB" w14:textId="39F210D5" w:rsidR="009564A6" w:rsidRDefault="009564A6" w:rsidP="00483F5F">
      <w:pPr>
        <w:pStyle w:val="Default"/>
      </w:pPr>
    </w:p>
    <w:p w14:paraId="167C7FCB" w14:textId="4D513B29" w:rsidR="009564A6" w:rsidRPr="008E1511" w:rsidRDefault="009564A6" w:rsidP="00483F5F">
      <w:pPr>
        <w:pStyle w:val="Default"/>
        <w:rPr>
          <w:rFonts w:asciiTheme="minorHAnsi" w:hAnsiTheme="minorHAnsi" w:cstheme="minorBidi"/>
          <w:color w:val="auto"/>
          <w:sz w:val="22"/>
          <w:szCs w:val="22"/>
        </w:rPr>
      </w:pPr>
      <w:r w:rsidRPr="008E1511">
        <w:rPr>
          <w:rFonts w:asciiTheme="minorHAnsi" w:hAnsiTheme="minorHAnsi" w:cstheme="minorBidi"/>
          <w:color w:val="auto"/>
          <w:sz w:val="22"/>
          <w:szCs w:val="22"/>
        </w:rPr>
        <w:t>The recommendation to improve presentation of clinical data within EHRs</w:t>
      </w:r>
      <w:r w:rsidR="00E92CB9" w:rsidRPr="008E1511">
        <w:rPr>
          <w:rFonts w:asciiTheme="minorHAnsi" w:hAnsiTheme="minorHAnsi" w:cstheme="minorBidi"/>
          <w:color w:val="auto"/>
          <w:sz w:val="22"/>
          <w:szCs w:val="22"/>
        </w:rPr>
        <w:t xml:space="preserve"> presumes there is one best way to present information that will work for all clinician cognitive styles in all specialties in all contexts. </w:t>
      </w:r>
      <w:r w:rsidR="004A24B7" w:rsidRPr="008E1511">
        <w:rPr>
          <w:rFonts w:asciiTheme="minorHAnsi" w:hAnsiTheme="minorHAnsi" w:cstheme="minorBidi"/>
          <w:color w:val="auto"/>
          <w:sz w:val="22"/>
          <w:szCs w:val="22"/>
        </w:rPr>
        <w:t>This</w:t>
      </w:r>
      <w:r w:rsidR="00E92CB9" w:rsidRPr="008E1511">
        <w:rPr>
          <w:rFonts w:asciiTheme="minorHAnsi" w:hAnsiTheme="minorHAnsi" w:cstheme="minorBidi"/>
          <w:color w:val="auto"/>
          <w:sz w:val="22"/>
          <w:szCs w:val="22"/>
        </w:rPr>
        <w:t xml:space="preserve"> ideal way </w:t>
      </w:r>
      <w:r w:rsidR="004A24B7" w:rsidRPr="008E1511">
        <w:rPr>
          <w:rFonts w:asciiTheme="minorHAnsi" w:hAnsiTheme="minorHAnsi" w:cstheme="minorBidi"/>
          <w:color w:val="auto"/>
          <w:sz w:val="22"/>
          <w:szCs w:val="22"/>
        </w:rPr>
        <w:t xml:space="preserve">doesn’t </w:t>
      </w:r>
      <w:r w:rsidR="00625F13" w:rsidRPr="008E1511">
        <w:rPr>
          <w:rFonts w:asciiTheme="minorHAnsi" w:hAnsiTheme="minorHAnsi" w:cstheme="minorBidi"/>
          <w:color w:val="auto"/>
          <w:sz w:val="22"/>
          <w:szCs w:val="22"/>
        </w:rPr>
        <w:t>exist</w:t>
      </w:r>
      <w:r w:rsidR="00E92CB9" w:rsidRPr="008E1511">
        <w:rPr>
          <w:rFonts w:asciiTheme="minorHAnsi" w:hAnsiTheme="minorHAnsi" w:cstheme="minorBidi"/>
          <w:color w:val="auto"/>
          <w:sz w:val="22"/>
          <w:szCs w:val="22"/>
        </w:rPr>
        <w:t xml:space="preserve">, the user must have tools to customize and optimize the fit. Otherwise clinicians </w:t>
      </w:r>
      <w:r w:rsidR="00B61190" w:rsidRPr="008E1511">
        <w:rPr>
          <w:rFonts w:asciiTheme="minorHAnsi" w:hAnsiTheme="minorHAnsi" w:cstheme="minorBidi"/>
          <w:color w:val="auto"/>
          <w:sz w:val="22"/>
          <w:szCs w:val="22"/>
        </w:rPr>
        <w:t>will get</w:t>
      </w:r>
      <w:r w:rsidR="00E92CB9" w:rsidRPr="008E1511">
        <w:rPr>
          <w:rFonts w:asciiTheme="minorHAnsi" w:hAnsiTheme="minorHAnsi" w:cstheme="minorBidi"/>
          <w:color w:val="auto"/>
          <w:sz w:val="22"/>
          <w:szCs w:val="22"/>
        </w:rPr>
        <w:t xml:space="preserve"> frustrated due to the amount of information they have to </w:t>
      </w:r>
      <w:r w:rsidR="004570D6" w:rsidRPr="008E1511">
        <w:rPr>
          <w:rFonts w:asciiTheme="minorHAnsi" w:hAnsiTheme="minorHAnsi" w:cstheme="minorBidi"/>
          <w:color w:val="auto"/>
          <w:sz w:val="22"/>
          <w:szCs w:val="22"/>
        </w:rPr>
        <w:t xml:space="preserve">enter </w:t>
      </w:r>
      <w:r w:rsidR="00E92CB9" w:rsidRPr="008E1511">
        <w:rPr>
          <w:rFonts w:asciiTheme="minorHAnsi" w:hAnsiTheme="minorHAnsi" w:cstheme="minorBidi"/>
          <w:color w:val="auto"/>
          <w:sz w:val="22"/>
          <w:szCs w:val="22"/>
        </w:rPr>
        <w:t>manually.</w:t>
      </w:r>
    </w:p>
    <w:p w14:paraId="7C6498FB" w14:textId="77777777" w:rsidR="008E1511" w:rsidRDefault="008E1511" w:rsidP="00483F5F">
      <w:pPr>
        <w:pStyle w:val="Default"/>
        <w:rPr>
          <w:rFonts w:asciiTheme="minorHAnsi" w:hAnsiTheme="minorHAnsi" w:cstheme="minorBidi"/>
          <w:color w:val="auto"/>
          <w:sz w:val="22"/>
          <w:szCs w:val="22"/>
        </w:rPr>
      </w:pPr>
    </w:p>
    <w:p w14:paraId="5761C450" w14:textId="77777777" w:rsidR="008E1511" w:rsidRDefault="008E1511" w:rsidP="00483F5F">
      <w:pPr>
        <w:pStyle w:val="Default"/>
        <w:rPr>
          <w:rFonts w:asciiTheme="minorHAnsi" w:hAnsiTheme="minorHAnsi" w:cstheme="minorBidi"/>
          <w:color w:val="auto"/>
          <w:sz w:val="22"/>
          <w:szCs w:val="22"/>
        </w:rPr>
      </w:pPr>
    </w:p>
    <w:p w14:paraId="2B69CF52" w14:textId="77777777" w:rsidR="008E1511" w:rsidRDefault="008E1511" w:rsidP="00483F5F">
      <w:pPr>
        <w:pStyle w:val="Default"/>
        <w:rPr>
          <w:rFonts w:asciiTheme="minorHAnsi" w:hAnsiTheme="minorHAnsi" w:cstheme="minorBidi"/>
          <w:color w:val="auto"/>
          <w:sz w:val="22"/>
          <w:szCs w:val="22"/>
        </w:rPr>
      </w:pPr>
    </w:p>
    <w:p w14:paraId="405776CD" w14:textId="5CB51EC2" w:rsidR="004570D6" w:rsidRPr="008E1511" w:rsidRDefault="004570D6" w:rsidP="00483F5F">
      <w:pPr>
        <w:pStyle w:val="Default"/>
        <w:rPr>
          <w:rFonts w:asciiTheme="minorHAnsi" w:hAnsiTheme="minorHAnsi" w:cstheme="minorBidi"/>
          <w:color w:val="auto"/>
          <w:sz w:val="22"/>
          <w:szCs w:val="22"/>
        </w:rPr>
      </w:pPr>
      <w:r w:rsidRPr="008E1511">
        <w:rPr>
          <w:rFonts w:asciiTheme="minorHAnsi" w:hAnsiTheme="minorHAnsi" w:cstheme="minorBidi"/>
          <w:color w:val="auto"/>
          <w:sz w:val="22"/>
          <w:szCs w:val="22"/>
        </w:rPr>
        <w:t>MedInformatix agrees with the harmonization of user actions for basic clinical operations across EHRs but the recommendation seems to encourage the industry to act on it but doesn’t seem to indicate a federal role.</w:t>
      </w:r>
    </w:p>
    <w:p w14:paraId="6EB73DA3" w14:textId="6C500022" w:rsidR="009C5FDD" w:rsidRPr="008E1511" w:rsidRDefault="009C5FDD" w:rsidP="00483F5F">
      <w:pPr>
        <w:pStyle w:val="Default"/>
        <w:rPr>
          <w:rFonts w:asciiTheme="minorHAnsi" w:hAnsiTheme="minorHAnsi" w:cstheme="minorBidi"/>
          <w:color w:val="auto"/>
          <w:sz w:val="22"/>
          <w:szCs w:val="22"/>
        </w:rPr>
      </w:pPr>
      <w:r w:rsidRPr="008E1511">
        <w:rPr>
          <w:rFonts w:asciiTheme="minorHAnsi" w:hAnsiTheme="minorHAnsi" w:cstheme="minorBidi"/>
          <w:color w:val="auto"/>
          <w:sz w:val="22"/>
          <w:szCs w:val="22"/>
        </w:rPr>
        <w:t>MedInformatix also supports EHR training to shorten the adjustment period that comes with a new EHR system implementation. Making usability a priority during E</w:t>
      </w:r>
      <w:r w:rsidR="00FA154A" w:rsidRPr="008E1511">
        <w:rPr>
          <w:rFonts w:asciiTheme="minorHAnsi" w:hAnsiTheme="minorHAnsi" w:cstheme="minorBidi"/>
          <w:color w:val="auto"/>
          <w:sz w:val="22"/>
          <w:szCs w:val="22"/>
        </w:rPr>
        <w:t>H</w:t>
      </w:r>
      <w:r w:rsidRPr="008E1511">
        <w:rPr>
          <w:rFonts w:asciiTheme="minorHAnsi" w:hAnsiTheme="minorHAnsi" w:cstheme="minorBidi"/>
          <w:color w:val="auto"/>
          <w:sz w:val="22"/>
          <w:szCs w:val="22"/>
        </w:rPr>
        <w:t xml:space="preserve">R optimization and customization can </w:t>
      </w:r>
      <w:r w:rsidR="00FA154A" w:rsidRPr="008E1511">
        <w:rPr>
          <w:rFonts w:asciiTheme="minorHAnsi" w:hAnsiTheme="minorHAnsi" w:cstheme="minorBidi"/>
          <w:color w:val="auto"/>
          <w:sz w:val="22"/>
          <w:szCs w:val="22"/>
        </w:rPr>
        <w:t xml:space="preserve">improve physician interactions with EHR technology and reduce provider burden. Specializing clinical workflows can help to streamline health data access for clinicians and reduce the time spent in front of EHR systems. Default workflows often lack usability.  </w:t>
      </w:r>
    </w:p>
    <w:p w14:paraId="03342481" w14:textId="0269130D" w:rsidR="004570D6" w:rsidRDefault="004570D6" w:rsidP="00483F5F">
      <w:pPr>
        <w:pStyle w:val="Default"/>
      </w:pPr>
    </w:p>
    <w:p w14:paraId="6E77F0E5" w14:textId="5C909616" w:rsidR="00C3611D" w:rsidRDefault="00854453" w:rsidP="00483F5F">
      <w:pPr>
        <w:pStyle w:val="Default"/>
        <w:rPr>
          <w:color w:val="auto"/>
          <w:sz w:val="22"/>
          <w:szCs w:val="22"/>
        </w:rPr>
      </w:pPr>
      <w:r w:rsidRPr="005712F3">
        <w:rPr>
          <w:b/>
          <w:color w:val="auto"/>
          <w:sz w:val="22"/>
          <w:szCs w:val="22"/>
        </w:rPr>
        <w:t>Conclusion</w:t>
      </w:r>
      <w:r>
        <w:rPr>
          <w:color w:val="auto"/>
          <w:sz w:val="22"/>
          <w:szCs w:val="22"/>
        </w:rPr>
        <w:t>-</w:t>
      </w:r>
    </w:p>
    <w:p w14:paraId="2F143817" w14:textId="35B89E34" w:rsidR="00854453" w:rsidRDefault="00854453" w:rsidP="00483F5F">
      <w:pPr>
        <w:pStyle w:val="Default"/>
        <w:rPr>
          <w:color w:val="auto"/>
          <w:sz w:val="22"/>
          <w:szCs w:val="22"/>
        </w:rPr>
      </w:pPr>
    </w:p>
    <w:p w14:paraId="0699EE30" w14:textId="41D4B9CF" w:rsidR="00854453" w:rsidRDefault="00854453" w:rsidP="00483F5F">
      <w:pPr>
        <w:pStyle w:val="Default"/>
        <w:rPr>
          <w:color w:val="auto"/>
          <w:sz w:val="22"/>
          <w:szCs w:val="22"/>
        </w:rPr>
      </w:pPr>
      <w:r w:rsidRPr="00854453">
        <w:rPr>
          <w:color w:val="auto"/>
          <w:sz w:val="22"/>
          <w:szCs w:val="22"/>
        </w:rPr>
        <w:t xml:space="preserve">The burden is </w:t>
      </w:r>
      <w:r w:rsidR="00C077A0" w:rsidRPr="00854453">
        <w:rPr>
          <w:color w:val="auto"/>
          <w:sz w:val="22"/>
          <w:szCs w:val="22"/>
        </w:rPr>
        <w:t>clear,</w:t>
      </w:r>
      <w:r w:rsidR="005712F3">
        <w:rPr>
          <w:color w:val="auto"/>
          <w:sz w:val="22"/>
          <w:szCs w:val="22"/>
        </w:rPr>
        <w:t xml:space="preserve"> and the reduction needs to occur faster</w:t>
      </w:r>
      <w:r w:rsidRPr="00854453">
        <w:rPr>
          <w:color w:val="auto"/>
          <w:sz w:val="22"/>
          <w:szCs w:val="22"/>
        </w:rPr>
        <w:t>, the re</w:t>
      </w:r>
      <w:r w:rsidR="00C077A0">
        <w:rPr>
          <w:color w:val="auto"/>
          <w:sz w:val="22"/>
          <w:szCs w:val="22"/>
        </w:rPr>
        <w:t>commendations in this draft strategy</w:t>
      </w:r>
      <w:r w:rsidRPr="00854453">
        <w:rPr>
          <w:color w:val="auto"/>
          <w:sz w:val="22"/>
          <w:szCs w:val="22"/>
        </w:rPr>
        <w:t xml:space="preserve"> </w:t>
      </w:r>
      <w:r w:rsidR="00C077A0">
        <w:rPr>
          <w:color w:val="auto"/>
          <w:sz w:val="22"/>
          <w:szCs w:val="22"/>
        </w:rPr>
        <w:t>are</w:t>
      </w:r>
      <w:r w:rsidRPr="00854453">
        <w:rPr>
          <w:color w:val="auto"/>
          <w:sz w:val="22"/>
          <w:szCs w:val="22"/>
        </w:rPr>
        <w:t xml:space="preserve"> </w:t>
      </w:r>
      <w:r w:rsidR="005712F3" w:rsidRPr="00854453">
        <w:rPr>
          <w:color w:val="auto"/>
          <w:sz w:val="22"/>
          <w:szCs w:val="22"/>
        </w:rPr>
        <w:t>prolonged</w:t>
      </w:r>
      <w:r w:rsidRPr="00854453">
        <w:rPr>
          <w:color w:val="auto"/>
          <w:sz w:val="22"/>
          <w:szCs w:val="22"/>
        </w:rPr>
        <w:t xml:space="preserve"> and </w:t>
      </w:r>
      <w:r w:rsidR="005712F3">
        <w:rPr>
          <w:color w:val="auto"/>
          <w:sz w:val="22"/>
          <w:szCs w:val="22"/>
        </w:rPr>
        <w:t xml:space="preserve">it </w:t>
      </w:r>
      <w:r w:rsidR="005712F3" w:rsidRPr="00854453">
        <w:rPr>
          <w:color w:val="auto"/>
          <w:sz w:val="22"/>
          <w:szCs w:val="22"/>
        </w:rPr>
        <w:t>seems</w:t>
      </w:r>
      <w:r w:rsidRPr="00854453">
        <w:rPr>
          <w:color w:val="auto"/>
          <w:sz w:val="22"/>
          <w:szCs w:val="22"/>
        </w:rPr>
        <w:t xml:space="preserve"> to be a submission to fulfill a legislative mandate that itself is over two years old.  </w:t>
      </w:r>
      <w:r w:rsidR="004C596B">
        <w:rPr>
          <w:color w:val="auto"/>
          <w:sz w:val="22"/>
          <w:szCs w:val="22"/>
        </w:rPr>
        <w:t xml:space="preserve">We don’t believe that </w:t>
      </w:r>
      <w:r w:rsidRPr="00854453">
        <w:rPr>
          <w:color w:val="auto"/>
          <w:sz w:val="22"/>
          <w:szCs w:val="22"/>
        </w:rPr>
        <w:t xml:space="preserve">most of what is proposed will occur in this political cycle and may be </w:t>
      </w:r>
      <w:r w:rsidR="00C077A0" w:rsidRPr="00854453">
        <w:rPr>
          <w:color w:val="auto"/>
          <w:sz w:val="22"/>
          <w:szCs w:val="22"/>
        </w:rPr>
        <w:t>overloaded</w:t>
      </w:r>
      <w:r w:rsidRPr="00854453">
        <w:rPr>
          <w:color w:val="auto"/>
          <w:sz w:val="22"/>
          <w:szCs w:val="22"/>
        </w:rPr>
        <w:t xml:space="preserve">, if not unraveled, by </w:t>
      </w:r>
      <w:r w:rsidR="00C077A0">
        <w:rPr>
          <w:color w:val="auto"/>
          <w:sz w:val="22"/>
          <w:szCs w:val="22"/>
        </w:rPr>
        <w:t>a fresh</w:t>
      </w:r>
      <w:r w:rsidRPr="00854453">
        <w:rPr>
          <w:color w:val="auto"/>
          <w:sz w:val="22"/>
          <w:szCs w:val="22"/>
        </w:rPr>
        <w:t xml:space="preserve"> </w:t>
      </w:r>
      <w:r w:rsidR="00C077A0">
        <w:rPr>
          <w:color w:val="auto"/>
          <w:sz w:val="22"/>
          <w:szCs w:val="22"/>
        </w:rPr>
        <w:t>political insight</w:t>
      </w:r>
      <w:r w:rsidRPr="00854453">
        <w:rPr>
          <w:color w:val="auto"/>
          <w:sz w:val="22"/>
          <w:szCs w:val="22"/>
        </w:rPr>
        <w:t xml:space="preserve"> </w:t>
      </w:r>
      <w:r w:rsidR="00C077A0" w:rsidRPr="00854453">
        <w:rPr>
          <w:color w:val="auto"/>
          <w:sz w:val="22"/>
          <w:szCs w:val="22"/>
        </w:rPr>
        <w:t>subsequently</w:t>
      </w:r>
      <w:r w:rsidRPr="00854453">
        <w:rPr>
          <w:color w:val="auto"/>
          <w:sz w:val="22"/>
          <w:szCs w:val="22"/>
        </w:rPr>
        <w:t>.</w:t>
      </w:r>
      <w:r w:rsidR="00C077A0">
        <w:rPr>
          <w:color w:val="auto"/>
          <w:sz w:val="22"/>
          <w:szCs w:val="22"/>
        </w:rPr>
        <w:t xml:space="preserve"> </w:t>
      </w:r>
      <w:r w:rsidR="00270F14">
        <w:rPr>
          <w:color w:val="auto"/>
          <w:sz w:val="22"/>
          <w:szCs w:val="22"/>
        </w:rPr>
        <w:t xml:space="preserve">We </w:t>
      </w:r>
      <w:r w:rsidR="009C5FDD" w:rsidRPr="009C5FDD">
        <w:rPr>
          <w:color w:val="auto"/>
          <w:sz w:val="22"/>
          <w:szCs w:val="22"/>
        </w:rPr>
        <w:t>need to take definitive action to address problems with administrative burden and EHR use.</w:t>
      </w:r>
      <w:r w:rsidR="009C5FDD">
        <w:rPr>
          <w:color w:val="auto"/>
          <w:sz w:val="22"/>
          <w:szCs w:val="22"/>
        </w:rPr>
        <w:t xml:space="preserve"> We </w:t>
      </w:r>
      <w:r w:rsidR="00270F14">
        <w:rPr>
          <w:color w:val="auto"/>
          <w:sz w:val="22"/>
          <w:szCs w:val="22"/>
        </w:rPr>
        <w:t>must find solutions that can be acted up</w:t>
      </w:r>
      <w:r w:rsidR="0005289E">
        <w:rPr>
          <w:color w:val="auto"/>
          <w:sz w:val="22"/>
          <w:szCs w:val="22"/>
        </w:rPr>
        <w:t>on</w:t>
      </w:r>
      <w:r w:rsidR="00270F14">
        <w:rPr>
          <w:color w:val="auto"/>
          <w:sz w:val="22"/>
          <w:szCs w:val="22"/>
        </w:rPr>
        <w:t xml:space="preserve"> </w:t>
      </w:r>
      <w:r w:rsidR="0005289E">
        <w:rPr>
          <w:color w:val="auto"/>
          <w:sz w:val="22"/>
          <w:szCs w:val="22"/>
        </w:rPr>
        <w:t xml:space="preserve">quicker. If the return on investment is clear and well communicated the industry will be willing to implement the changes as it’s solving a real problem. Pilots are a great way to engage stakeholders and prove the ROI is real and the processes and technology works. ONC needs to ensure that the pilot opportunities are available to both large, medium and small size stakeholders so that the needs for all stakeholders are addressed and taken into consideration. </w:t>
      </w:r>
      <w:r w:rsidR="00FA154A" w:rsidRPr="00FA154A">
        <w:rPr>
          <w:color w:val="auto"/>
          <w:sz w:val="22"/>
          <w:szCs w:val="22"/>
        </w:rPr>
        <w:t xml:space="preserve">Collaboration between clinicians, health IT developers, hospital and </w:t>
      </w:r>
      <w:r w:rsidR="0007032A">
        <w:rPr>
          <w:color w:val="auto"/>
          <w:sz w:val="22"/>
          <w:szCs w:val="22"/>
        </w:rPr>
        <w:t>payers</w:t>
      </w:r>
      <w:r w:rsidR="00FA154A" w:rsidRPr="00FA154A">
        <w:rPr>
          <w:color w:val="auto"/>
          <w:sz w:val="22"/>
          <w:szCs w:val="22"/>
        </w:rPr>
        <w:t xml:space="preserve"> is critical to addressing the root causes of physician burnout before </w:t>
      </w:r>
      <w:r w:rsidR="0007032A" w:rsidRPr="00FA154A">
        <w:rPr>
          <w:color w:val="auto"/>
          <w:sz w:val="22"/>
          <w:szCs w:val="22"/>
        </w:rPr>
        <w:t>additional</w:t>
      </w:r>
      <w:r w:rsidR="00FA154A" w:rsidRPr="00FA154A">
        <w:rPr>
          <w:color w:val="auto"/>
          <w:sz w:val="22"/>
          <w:szCs w:val="22"/>
        </w:rPr>
        <w:t xml:space="preserve"> digitization aggravates the problem.  </w:t>
      </w:r>
    </w:p>
    <w:p w14:paraId="4C67AFDB" w14:textId="40D249F0" w:rsidR="00714A72" w:rsidRDefault="00714A72" w:rsidP="00483F5F">
      <w:pPr>
        <w:pStyle w:val="Default"/>
        <w:rPr>
          <w:color w:val="auto"/>
          <w:sz w:val="22"/>
          <w:szCs w:val="22"/>
        </w:rPr>
      </w:pPr>
    </w:p>
    <w:p w14:paraId="36B0AB69" w14:textId="18FFEED0" w:rsidR="00270F14" w:rsidRDefault="00714A72" w:rsidP="00270F14">
      <w:pPr>
        <w:pStyle w:val="Default"/>
        <w:rPr>
          <w:color w:val="auto"/>
          <w:sz w:val="22"/>
          <w:szCs w:val="22"/>
        </w:rPr>
      </w:pPr>
      <w:r>
        <w:rPr>
          <w:color w:val="auto"/>
          <w:sz w:val="22"/>
          <w:szCs w:val="22"/>
        </w:rPr>
        <w:t>MedInformatix wants</w:t>
      </w:r>
      <w:r w:rsidR="00C077A0">
        <w:rPr>
          <w:color w:val="auto"/>
          <w:sz w:val="22"/>
          <w:szCs w:val="22"/>
        </w:rPr>
        <w:t xml:space="preserve"> to help relieve </w:t>
      </w:r>
      <w:r w:rsidR="00270F14">
        <w:rPr>
          <w:color w:val="auto"/>
          <w:sz w:val="22"/>
          <w:szCs w:val="22"/>
        </w:rPr>
        <w:t>provider</w:t>
      </w:r>
      <w:r w:rsidR="00C077A0">
        <w:rPr>
          <w:color w:val="auto"/>
          <w:sz w:val="22"/>
          <w:szCs w:val="22"/>
        </w:rPr>
        <w:t xml:space="preserve"> burden and promote interoperability but the </w:t>
      </w:r>
      <w:r w:rsidR="00C077A0" w:rsidRPr="00C077A0">
        <w:rPr>
          <w:color w:val="auto"/>
          <w:sz w:val="22"/>
          <w:szCs w:val="22"/>
        </w:rPr>
        <w:t>lack of consistency in health data standards</w:t>
      </w:r>
      <w:r w:rsidR="00C077A0">
        <w:rPr>
          <w:color w:val="auto"/>
          <w:sz w:val="22"/>
          <w:szCs w:val="22"/>
        </w:rPr>
        <w:t xml:space="preserve"> continue to limit interoperability.</w:t>
      </w:r>
      <w:r>
        <w:rPr>
          <w:color w:val="auto"/>
          <w:sz w:val="22"/>
          <w:szCs w:val="22"/>
        </w:rPr>
        <w:t xml:space="preserve"> </w:t>
      </w:r>
      <w:r w:rsidRPr="00714A72">
        <w:rPr>
          <w:color w:val="auto"/>
          <w:sz w:val="22"/>
          <w:szCs w:val="22"/>
        </w:rPr>
        <w:t xml:space="preserve">More standardization </w:t>
      </w:r>
      <w:r>
        <w:rPr>
          <w:color w:val="auto"/>
          <w:sz w:val="22"/>
          <w:szCs w:val="22"/>
        </w:rPr>
        <w:t xml:space="preserve">allows </w:t>
      </w:r>
      <w:r w:rsidR="00270F14">
        <w:rPr>
          <w:color w:val="auto"/>
          <w:sz w:val="22"/>
          <w:szCs w:val="22"/>
        </w:rPr>
        <w:t xml:space="preserve">for </w:t>
      </w:r>
      <w:r w:rsidR="00270F14" w:rsidRPr="00714A72">
        <w:rPr>
          <w:color w:val="auto"/>
          <w:sz w:val="22"/>
          <w:szCs w:val="22"/>
        </w:rPr>
        <w:t>better</w:t>
      </w:r>
      <w:r w:rsidRPr="00714A72">
        <w:rPr>
          <w:color w:val="auto"/>
          <w:sz w:val="22"/>
          <w:szCs w:val="22"/>
        </w:rPr>
        <w:t xml:space="preserve"> interactions with payers.</w:t>
      </w:r>
      <w:r w:rsidR="00270F14">
        <w:rPr>
          <w:color w:val="auto"/>
          <w:sz w:val="22"/>
          <w:szCs w:val="22"/>
        </w:rPr>
        <w:t xml:space="preserve"> We assess that the burden the physicians are experiencing is not necessarily just </w:t>
      </w:r>
      <w:r w:rsidR="00270F14" w:rsidRPr="00270F14">
        <w:rPr>
          <w:color w:val="auto"/>
          <w:sz w:val="22"/>
          <w:szCs w:val="22"/>
        </w:rPr>
        <w:t>a system issue but a regulatory/policy issue.</w:t>
      </w:r>
      <w:r w:rsidR="00270F14">
        <w:rPr>
          <w:color w:val="auto"/>
          <w:sz w:val="22"/>
          <w:szCs w:val="22"/>
        </w:rPr>
        <w:t xml:space="preserve"> Increasing regulation may hamper usability because it’s difficult to spur innovation while maintaining regulatory compliance. </w:t>
      </w:r>
      <w:r w:rsidR="00270F14" w:rsidRPr="00270F14">
        <w:rPr>
          <w:color w:val="auto"/>
          <w:sz w:val="22"/>
          <w:szCs w:val="22"/>
        </w:rPr>
        <w:t>Regulating more is not the solution.</w:t>
      </w:r>
      <w:r w:rsidR="00270F14">
        <w:rPr>
          <w:color w:val="auto"/>
          <w:sz w:val="22"/>
          <w:szCs w:val="22"/>
        </w:rPr>
        <w:t xml:space="preserve"> </w:t>
      </w:r>
      <w:r w:rsidR="00206738">
        <w:rPr>
          <w:color w:val="auto"/>
          <w:sz w:val="22"/>
          <w:szCs w:val="22"/>
        </w:rPr>
        <w:t xml:space="preserve">MedInformatix is committed to involving physicians in the design and implementation of our products </w:t>
      </w:r>
      <w:r w:rsidR="009C5FDD">
        <w:rPr>
          <w:color w:val="auto"/>
          <w:sz w:val="22"/>
          <w:szCs w:val="22"/>
        </w:rPr>
        <w:t>and in measuring their satisfaction.</w:t>
      </w:r>
    </w:p>
    <w:p w14:paraId="62A06CB0" w14:textId="3F76843D" w:rsidR="0005289E" w:rsidRDefault="0005289E" w:rsidP="00270F14">
      <w:pPr>
        <w:pStyle w:val="Default"/>
        <w:rPr>
          <w:color w:val="auto"/>
          <w:sz w:val="22"/>
          <w:szCs w:val="22"/>
        </w:rPr>
      </w:pPr>
    </w:p>
    <w:p w14:paraId="40BBEC01" w14:textId="38F48280" w:rsidR="0005289E" w:rsidRDefault="0005289E" w:rsidP="00270F14">
      <w:pPr>
        <w:pStyle w:val="Default"/>
        <w:rPr>
          <w:color w:val="auto"/>
          <w:sz w:val="22"/>
          <w:szCs w:val="22"/>
        </w:rPr>
      </w:pPr>
      <w:r>
        <w:rPr>
          <w:color w:val="auto"/>
          <w:sz w:val="22"/>
          <w:szCs w:val="22"/>
        </w:rPr>
        <w:t xml:space="preserve">MedInformatix appreciates the opportunity to provide these comments </w:t>
      </w:r>
      <w:r w:rsidR="004C596B">
        <w:rPr>
          <w:color w:val="auto"/>
          <w:sz w:val="22"/>
          <w:szCs w:val="22"/>
        </w:rPr>
        <w:t>and supports t</w:t>
      </w:r>
      <w:r w:rsidR="004C596B" w:rsidRPr="004C596B">
        <w:rPr>
          <w:color w:val="auto"/>
          <w:sz w:val="22"/>
          <w:szCs w:val="22"/>
        </w:rPr>
        <w:t>he Department of Health and Human Services (HHS), including the Office of the National Coordinator for Health Information Technology (ONC) and the Centers for Medicare &amp; Medicaid Services (CMS)</w:t>
      </w:r>
      <w:r w:rsidR="004C596B">
        <w:rPr>
          <w:color w:val="auto"/>
          <w:sz w:val="22"/>
          <w:szCs w:val="22"/>
        </w:rPr>
        <w:t xml:space="preserve"> vision for </w:t>
      </w:r>
      <w:r w:rsidR="004C596B" w:rsidRPr="004C596B">
        <w:rPr>
          <w:color w:val="auto"/>
          <w:sz w:val="22"/>
          <w:szCs w:val="22"/>
        </w:rPr>
        <w:t>interoperable health information exchange that centers on the experience of clinicians and patients.</w:t>
      </w:r>
    </w:p>
    <w:p w14:paraId="5BE6E786" w14:textId="50A091D5" w:rsidR="004C596B" w:rsidRDefault="004C596B" w:rsidP="00270F14">
      <w:pPr>
        <w:pStyle w:val="Default"/>
        <w:rPr>
          <w:color w:val="auto"/>
          <w:sz w:val="22"/>
          <w:szCs w:val="22"/>
        </w:rPr>
      </w:pPr>
      <w:r>
        <w:rPr>
          <w:color w:val="auto"/>
          <w:sz w:val="22"/>
          <w:szCs w:val="22"/>
        </w:rPr>
        <w:t>If you have any questions or require additional information, please don’t hesitate to contact us.</w:t>
      </w:r>
    </w:p>
    <w:p w14:paraId="3B0777FD" w14:textId="2892F60F" w:rsidR="004C596B" w:rsidRDefault="004C596B" w:rsidP="00270F14">
      <w:pPr>
        <w:pStyle w:val="Default"/>
        <w:rPr>
          <w:color w:val="auto"/>
          <w:sz w:val="22"/>
          <w:szCs w:val="22"/>
        </w:rPr>
      </w:pPr>
    </w:p>
    <w:p w14:paraId="28F66C6D" w14:textId="7E50D2C6" w:rsidR="004C596B" w:rsidRDefault="004C596B" w:rsidP="00270F14">
      <w:pPr>
        <w:pStyle w:val="Default"/>
        <w:rPr>
          <w:color w:val="auto"/>
          <w:sz w:val="22"/>
          <w:szCs w:val="22"/>
        </w:rPr>
      </w:pPr>
      <w:r>
        <w:rPr>
          <w:color w:val="auto"/>
          <w:sz w:val="22"/>
          <w:szCs w:val="22"/>
        </w:rPr>
        <w:t>Sincerely,</w:t>
      </w:r>
    </w:p>
    <w:p w14:paraId="724AA93C" w14:textId="354B5716" w:rsidR="004C596B" w:rsidRDefault="004C596B" w:rsidP="00270F14">
      <w:pPr>
        <w:pStyle w:val="Default"/>
        <w:rPr>
          <w:color w:val="auto"/>
          <w:sz w:val="22"/>
          <w:szCs w:val="22"/>
        </w:rPr>
      </w:pPr>
    </w:p>
    <w:p w14:paraId="2658BD3D" w14:textId="36A39DDC" w:rsidR="004C596B" w:rsidRDefault="004C596B" w:rsidP="00270F14">
      <w:pPr>
        <w:pStyle w:val="Default"/>
        <w:rPr>
          <w:color w:val="auto"/>
          <w:sz w:val="22"/>
          <w:szCs w:val="22"/>
        </w:rPr>
      </w:pPr>
      <w:r w:rsidRPr="004C596B">
        <w:rPr>
          <w:color w:val="auto"/>
          <w:sz w:val="22"/>
          <w:szCs w:val="22"/>
        </w:rPr>
        <w:t>Betty Lengyel-Gomez</w:t>
      </w:r>
    </w:p>
    <w:p w14:paraId="3DEBE0E8" w14:textId="21DA7E1E" w:rsidR="004C596B" w:rsidRDefault="004C596B" w:rsidP="00270F14">
      <w:pPr>
        <w:pStyle w:val="Default"/>
        <w:rPr>
          <w:color w:val="auto"/>
          <w:sz w:val="22"/>
          <w:szCs w:val="22"/>
        </w:rPr>
      </w:pPr>
      <w:r>
        <w:rPr>
          <w:color w:val="auto"/>
          <w:sz w:val="22"/>
          <w:szCs w:val="22"/>
        </w:rPr>
        <w:t>Regulatory Compliance &amp; Industry Relations</w:t>
      </w:r>
    </w:p>
    <w:p w14:paraId="472284D9" w14:textId="7A5C85C9" w:rsidR="005712F3" w:rsidRDefault="004C596B" w:rsidP="00483F5F">
      <w:pPr>
        <w:pStyle w:val="Default"/>
        <w:rPr>
          <w:color w:val="auto"/>
          <w:sz w:val="22"/>
          <w:szCs w:val="22"/>
        </w:rPr>
      </w:pPr>
      <w:r>
        <w:rPr>
          <w:color w:val="auto"/>
          <w:sz w:val="22"/>
          <w:szCs w:val="22"/>
        </w:rPr>
        <w:t>MedInformatix</w:t>
      </w:r>
      <w:bookmarkStart w:id="1" w:name="_GoBack"/>
      <w:bookmarkEnd w:id="1"/>
    </w:p>
    <w:sectPr w:rsidR="005712F3" w:rsidSect="000450B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7FAEB" w14:textId="77777777" w:rsidR="00544B21" w:rsidRDefault="00544B21" w:rsidP="00AF3B8B">
      <w:pPr>
        <w:spacing w:line="240" w:lineRule="auto"/>
      </w:pPr>
      <w:r>
        <w:separator/>
      </w:r>
    </w:p>
  </w:endnote>
  <w:endnote w:type="continuationSeparator" w:id="0">
    <w:p w14:paraId="7214EB26" w14:textId="77777777" w:rsidR="00544B21" w:rsidRDefault="00544B21" w:rsidP="00AF3B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84DE1" w14:textId="2220DF4A" w:rsidR="00AF3B8B" w:rsidRPr="0084538A" w:rsidRDefault="00240EC2" w:rsidP="00AF3B8B">
    <w:pPr>
      <w:autoSpaceDE w:val="0"/>
      <w:autoSpaceDN w:val="0"/>
      <w:spacing w:line="240" w:lineRule="auto"/>
      <w:rPr>
        <w:rFonts w:ascii="Calibri" w:hAnsi="Calibri"/>
        <w:i/>
        <w:iCs/>
        <w:sz w:val="12"/>
        <w:szCs w:val="12"/>
      </w:rPr>
    </w:pPr>
    <w:r>
      <w:rPr>
        <w:rFonts w:ascii="Calibri" w:hAnsi="Calibri"/>
        <w:i/>
        <w:iCs/>
        <w:sz w:val="12"/>
        <w:szCs w:val="12"/>
      </w:rPr>
      <w:t>MI V7.7</w:t>
    </w:r>
    <w:r w:rsidR="00AF3B8B" w:rsidRPr="0084538A">
      <w:rPr>
        <w:rFonts w:ascii="Calibri" w:hAnsi="Calibri"/>
        <w:i/>
        <w:iCs/>
        <w:sz w:val="12"/>
        <w:szCs w:val="12"/>
      </w:rPr>
      <w:t xml:space="preserve"> EHR is </w:t>
    </w:r>
    <w:r>
      <w:rPr>
        <w:rFonts w:ascii="Calibri" w:hAnsi="Calibri"/>
        <w:i/>
        <w:iCs/>
        <w:sz w:val="12"/>
        <w:szCs w:val="12"/>
      </w:rPr>
      <w:t>2015</w:t>
    </w:r>
    <w:r w:rsidR="00AF3B8B" w:rsidRPr="0084538A">
      <w:rPr>
        <w:rFonts w:ascii="Calibri" w:hAnsi="Calibri"/>
        <w:i/>
        <w:iCs/>
        <w:sz w:val="12"/>
        <w:szCs w:val="12"/>
      </w:rPr>
      <w:t xml:space="preserve"> compliant and has been certified by an ONC-ATCB in accordance with the applicable certification criteria adopted by the Secretary of Health and Human Services. This certification does not represent an endorsement by the U.S. Department of Health and Human Services or guarantee the receipt of incentive payments.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CD63B" w14:textId="77777777" w:rsidR="00544B21" w:rsidRDefault="00544B21" w:rsidP="00AF3B8B">
      <w:pPr>
        <w:spacing w:line="240" w:lineRule="auto"/>
      </w:pPr>
      <w:r>
        <w:separator/>
      </w:r>
    </w:p>
  </w:footnote>
  <w:footnote w:type="continuationSeparator" w:id="0">
    <w:p w14:paraId="549B62FD" w14:textId="77777777" w:rsidR="00544B21" w:rsidRDefault="00544B21" w:rsidP="00AF3B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BC3EE" w14:textId="0C9E1D8C" w:rsidR="00AF3B8B" w:rsidRDefault="00381FA0" w:rsidP="00AF3B8B">
    <w:pPr>
      <w:pBdr>
        <w:bottom w:val="single" w:sz="4" w:space="1" w:color="auto"/>
      </w:pBdr>
      <w:jc w:val="both"/>
    </w:pPr>
    <w:r>
      <w:rPr>
        <w:noProof/>
      </w:rPr>
      <w:drawing>
        <wp:anchor distT="0" distB="0" distL="114300" distR="114300" simplePos="0" relativeHeight="251660288" behindDoc="0" locked="0" layoutInCell="1" allowOverlap="1" wp14:anchorId="7580A6F3" wp14:editId="79CDAE0E">
          <wp:simplePos x="0" y="0"/>
          <wp:positionH relativeFrom="margin">
            <wp:align>left</wp:align>
          </wp:positionH>
          <wp:positionV relativeFrom="paragraph">
            <wp:posOffset>-83820</wp:posOffset>
          </wp:positionV>
          <wp:extent cx="1453896" cy="9235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53896" cy="923544"/>
                  </a:xfrm>
                  <a:prstGeom prst="rect">
                    <a:avLst/>
                  </a:prstGeom>
                </pic:spPr>
              </pic:pic>
            </a:graphicData>
          </a:graphic>
        </wp:anchor>
      </w:drawing>
    </w:r>
    <w:r w:rsidR="00AF3B8B">
      <w:t xml:space="preserve">                                                         </w:t>
    </w:r>
  </w:p>
  <w:p w14:paraId="34C83503" w14:textId="77777777" w:rsidR="00AF3B8B" w:rsidRDefault="00AF3B8B" w:rsidP="00AF3B8B">
    <w:pPr>
      <w:pBdr>
        <w:bottom w:val="single" w:sz="4" w:space="1" w:color="auto"/>
      </w:pBdr>
      <w:jc w:val="right"/>
      <w:rPr>
        <w:sz w:val="8"/>
        <w:szCs w:val="8"/>
      </w:rPr>
    </w:pPr>
  </w:p>
  <w:p w14:paraId="7FA68CBA" w14:textId="65BACFE9" w:rsidR="00AF3B8B" w:rsidRDefault="00AF3B8B" w:rsidP="00AF3B8B">
    <w:pPr>
      <w:pBdr>
        <w:bottom w:val="single" w:sz="4" w:space="1" w:color="auto"/>
      </w:pBdr>
      <w:jc w:val="right"/>
      <w:rPr>
        <w:sz w:val="8"/>
        <w:szCs w:val="8"/>
      </w:rPr>
    </w:pPr>
  </w:p>
  <w:p w14:paraId="3371B734" w14:textId="77777777" w:rsidR="00AF3B8B" w:rsidRPr="0084538A" w:rsidRDefault="00AF3B8B" w:rsidP="00AF3B8B">
    <w:pPr>
      <w:pBdr>
        <w:bottom w:val="single" w:sz="4" w:space="1" w:color="auto"/>
      </w:pBdr>
      <w:jc w:val="right"/>
      <w:rPr>
        <w:sz w:val="8"/>
        <w:szCs w:val="8"/>
      </w:rPr>
    </w:pPr>
  </w:p>
  <w:p w14:paraId="2C8E14A4" w14:textId="77777777" w:rsidR="00AF3B8B" w:rsidRPr="00AF3B8B" w:rsidRDefault="001318EF" w:rsidP="00AF3B8B">
    <w:pPr>
      <w:jc w:val="center"/>
      <w:rPr>
        <w:rFonts w:ascii="Calibri" w:hAnsi="Calibri" w:cs="Times New Roman"/>
      </w:rPr>
    </w:pPr>
    <w:r>
      <w:rPr>
        <w:rFonts w:ascii="Calibri" w:hAnsi="Calibri" w:cs="Times New Roman"/>
      </w:rPr>
      <w:t>5777 West Century Blvd, S</w:t>
    </w:r>
    <w:r w:rsidR="00AF3B8B" w:rsidRPr="0084538A">
      <w:rPr>
        <w:rFonts w:ascii="Calibri" w:hAnsi="Calibri" w:cs="Times New Roman"/>
      </w:rPr>
      <w:t>te 1700 Los Angeles, CA 90045</w:t>
    </w:r>
    <w:r w:rsidR="00AF3B8B">
      <w:rPr>
        <w:rFonts w:ascii="Calibri" w:hAnsi="Calibri" w:cs="Times New Roman"/>
      </w:rPr>
      <w:t xml:space="preserve"> T: 310.348.7367 F: 310.348.7330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67253"/>
    <w:multiLevelType w:val="hybridMultilevel"/>
    <w:tmpl w:val="D0388446"/>
    <w:lvl w:ilvl="0" w:tplc="2BA6C7A6">
      <w:start w:val="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80C4F"/>
    <w:multiLevelType w:val="hybridMultilevel"/>
    <w:tmpl w:val="F836DAC6"/>
    <w:lvl w:ilvl="0" w:tplc="D8B05882">
      <w:start w:val="21"/>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B8B"/>
    <w:rsid w:val="00000A7E"/>
    <w:rsid w:val="000014F1"/>
    <w:rsid w:val="00005A9D"/>
    <w:rsid w:val="000450B3"/>
    <w:rsid w:val="00047A92"/>
    <w:rsid w:val="0005289E"/>
    <w:rsid w:val="00063A6A"/>
    <w:rsid w:val="0007032A"/>
    <w:rsid w:val="000A11D3"/>
    <w:rsid w:val="000B2109"/>
    <w:rsid w:val="000F0CA6"/>
    <w:rsid w:val="000F570C"/>
    <w:rsid w:val="00104460"/>
    <w:rsid w:val="001318EF"/>
    <w:rsid w:val="00137779"/>
    <w:rsid w:val="001470D8"/>
    <w:rsid w:val="00170593"/>
    <w:rsid w:val="0017312B"/>
    <w:rsid w:val="001A78AD"/>
    <w:rsid w:val="001B1367"/>
    <w:rsid w:val="001B20E0"/>
    <w:rsid w:val="001B3D42"/>
    <w:rsid w:val="001D0E0B"/>
    <w:rsid w:val="001D278C"/>
    <w:rsid w:val="001D46F1"/>
    <w:rsid w:val="001F4FE4"/>
    <w:rsid w:val="00200C16"/>
    <w:rsid w:val="00204C7C"/>
    <w:rsid w:val="00206738"/>
    <w:rsid w:val="00211423"/>
    <w:rsid w:val="0021774E"/>
    <w:rsid w:val="002243BD"/>
    <w:rsid w:val="00224DD3"/>
    <w:rsid w:val="00226B77"/>
    <w:rsid w:val="00230CF3"/>
    <w:rsid w:val="00240EC2"/>
    <w:rsid w:val="00246679"/>
    <w:rsid w:val="00253C9B"/>
    <w:rsid w:val="002546EF"/>
    <w:rsid w:val="0026104A"/>
    <w:rsid w:val="00270F14"/>
    <w:rsid w:val="00292CF2"/>
    <w:rsid w:val="002C09E5"/>
    <w:rsid w:val="002F0D59"/>
    <w:rsid w:val="00325574"/>
    <w:rsid w:val="00335E1A"/>
    <w:rsid w:val="003406C5"/>
    <w:rsid w:val="0034151C"/>
    <w:rsid w:val="00381A9A"/>
    <w:rsid w:val="00381FA0"/>
    <w:rsid w:val="003D222B"/>
    <w:rsid w:val="003F1ACD"/>
    <w:rsid w:val="003F439B"/>
    <w:rsid w:val="004332FD"/>
    <w:rsid w:val="004439E7"/>
    <w:rsid w:val="004570D6"/>
    <w:rsid w:val="00461DBF"/>
    <w:rsid w:val="004629C6"/>
    <w:rsid w:val="004823D9"/>
    <w:rsid w:val="00483F5F"/>
    <w:rsid w:val="00492A3A"/>
    <w:rsid w:val="004A17AA"/>
    <w:rsid w:val="004A24B7"/>
    <w:rsid w:val="004C596B"/>
    <w:rsid w:val="004E1E2D"/>
    <w:rsid w:val="004E3085"/>
    <w:rsid w:val="004E6881"/>
    <w:rsid w:val="004F12A4"/>
    <w:rsid w:val="004F2687"/>
    <w:rsid w:val="004F3D55"/>
    <w:rsid w:val="005105C7"/>
    <w:rsid w:val="00511F30"/>
    <w:rsid w:val="005277B0"/>
    <w:rsid w:val="0053109F"/>
    <w:rsid w:val="00544B21"/>
    <w:rsid w:val="005712F3"/>
    <w:rsid w:val="005767AC"/>
    <w:rsid w:val="00590859"/>
    <w:rsid w:val="00596EB9"/>
    <w:rsid w:val="005D178E"/>
    <w:rsid w:val="005D4E21"/>
    <w:rsid w:val="005D58E0"/>
    <w:rsid w:val="005D5E15"/>
    <w:rsid w:val="005E0CB5"/>
    <w:rsid w:val="006237DA"/>
    <w:rsid w:val="006239E0"/>
    <w:rsid w:val="00625F13"/>
    <w:rsid w:val="00632907"/>
    <w:rsid w:val="00641DFF"/>
    <w:rsid w:val="00644B0C"/>
    <w:rsid w:val="00646EC1"/>
    <w:rsid w:val="00650803"/>
    <w:rsid w:val="006650BE"/>
    <w:rsid w:val="006915BE"/>
    <w:rsid w:val="006A0460"/>
    <w:rsid w:val="006A6F45"/>
    <w:rsid w:val="006B4426"/>
    <w:rsid w:val="006C026B"/>
    <w:rsid w:val="006E0E70"/>
    <w:rsid w:val="006E44DD"/>
    <w:rsid w:val="006F7B2D"/>
    <w:rsid w:val="00700083"/>
    <w:rsid w:val="0070550B"/>
    <w:rsid w:val="00714A72"/>
    <w:rsid w:val="00714FE5"/>
    <w:rsid w:val="00717B5A"/>
    <w:rsid w:val="007536CA"/>
    <w:rsid w:val="00757BC5"/>
    <w:rsid w:val="00760D85"/>
    <w:rsid w:val="007677EB"/>
    <w:rsid w:val="00771CF4"/>
    <w:rsid w:val="00787C10"/>
    <w:rsid w:val="007A12EE"/>
    <w:rsid w:val="007B6A9B"/>
    <w:rsid w:val="007B761C"/>
    <w:rsid w:val="007F4D32"/>
    <w:rsid w:val="00804DBA"/>
    <w:rsid w:val="00830A9F"/>
    <w:rsid w:val="0083272B"/>
    <w:rsid w:val="008425FF"/>
    <w:rsid w:val="00854453"/>
    <w:rsid w:val="00860E44"/>
    <w:rsid w:val="008846C9"/>
    <w:rsid w:val="00893126"/>
    <w:rsid w:val="00895CE2"/>
    <w:rsid w:val="008B1256"/>
    <w:rsid w:val="008D2C34"/>
    <w:rsid w:val="008D3FD2"/>
    <w:rsid w:val="008E1511"/>
    <w:rsid w:val="008F1A01"/>
    <w:rsid w:val="009055CC"/>
    <w:rsid w:val="009248D4"/>
    <w:rsid w:val="00927A76"/>
    <w:rsid w:val="009435FF"/>
    <w:rsid w:val="00945090"/>
    <w:rsid w:val="009474CD"/>
    <w:rsid w:val="009564A6"/>
    <w:rsid w:val="009715D7"/>
    <w:rsid w:val="00972011"/>
    <w:rsid w:val="009734FA"/>
    <w:rsid w:val="009811BC"/>
    <w:rsid w:val="00981E3B"/>
    <w:rsid w:val="009B0761"/>
    <w:rsid w:val="009B5184"/>
    <w:rsid w:val="009C5DEB"/>
    <w:rsid w:val="009C5FDD"/>
    <w:rsid w:val="009E3F05"/>
    <w:rsid w:val="00A10458"/>
    <w:rsid w:val="00A30298"/>
    <w:rsid w:val="00A54E4F"/>
    <w:rsid w:val="00A565FF"/>
    <w:rsid w:val="00A62108"/>
    <w:rsid w:val="00A73B3A"/>
    <w:rsid w:val="00A759B7"/>
    <w:rsid w:val="00A83749"/>
    <w:rsid w:val="00A94437"/>
    <w:rsid w:val="00AA1A98"/>
    <w:rsid w:val="00AA7EFE"/>
    <w:rsid w:val="00AC1ACB"/>
    <w:rsid w:val="00AD6BD8"/>
    <w:rsid w:val="00AF3B8B"/>
    <w:rsid w:val="00AF7D16"/>
    <w:rsid w:val="00B06D9A"/>
    <w:rsid w:val="00B219AB"/>
    <w:rsid w:val="00B37A9E"/>
    <w:rsid w:val="00B406D2"/>
    <w:rsid w:val="00B57D1C"/>
    <w:rsid w:val="00B61190"/>
    <w:rsid w:val="00B84EA2"/>
    <w:rsid w:val="00B865AF"/>
    <w:rsid w:val="00B905C6"/>
    <w:rsid w:val="00B96E5E"/>
    <w:rsid w:val="00BB0EF5"/>
    <w:rsid w:val="00BD00DE"/>
    <w:rsid w:val="00BD3517"/>
    <w:rsid w:val="00BD3652"/>
    <w:rsid w:val="00BE4A88"/>
    <w:rsid w:val="00BE6179"/>
    <w:rsid w:val="00BF7888"/>
    <w:rsid w:val="00C06AD3"/>
    <w:rsid w:val="00C077A0"/>
    <w:rsid w:val="00C07B18"/>
    <w:rsid w:val="00C10FDA"/>
    <w:rsid w:val="00C32499"/>
    <w:rsid w:val="00C3611D"/>
    <w:rsid w:val="00C51F65"/>
    <w:rsid w:val="00C558CB"/>
    <w:rsid w:val="00C62296"/>
    <w:rsid w:val="00C74428"/>
    <w:rsid w:val="00C83DCA"/>
    <w:rsid w:val="00C87A96"/>
    <w:rsid w:val="00CB6558"/>
    <w:rsid w:val="00CB6FA8"/>
    <w:rsid w:val="00CC4930"/>
    <w:rsid w:val="00CD14B6"/>
    <w:rsid w:val="00CD3D40"/>
    <w:rsid w:val="00CE00B0"/>
    <w:rsid w:val="00CE7E4C"/>
    <w:rsid w:val="00CF5256"/>
    <w:rsid w:val="00CF6A87"/>
    <w:rsid w:val="00D13609"/>
    <w:rsid w:val="00D159FD"/>
    <w:rsid w:val="00D20EAD"/>
    <w:rsid w:val="00D326D4"/>
    <w:rsid w:val="00D437E1"/>
    <w:rsid w:val="00D51C87"/>
    <w:rsid w:val="00D65C0D"/>
    <w:rsid w:val="00D67FDA"/>
    <w:rsid w:val="00D74EEC"/>
    <w:rsid w:val="00D77532"/>
    <w:rsid w:val="00DA39EE"/>
    <w:rsid w:val="00DC5394"/>
    <w:rsid w:val="00DD6A58"/>
    <w:rsid w:val="00DE1A3E"/>
    <w:rsid w:val="00DE2DF0"/>
    <w:rsid w:val="00E15F1A"/>
    <w:rsid w:val="00E218CB"/>
    <w:rsid w:val="00E32CE7"/>
    <w:rsid w:val="00E476FA"/>
    <w:rsid w:val="00E619E9"/>
    <w:rsid w:val="00E73F95"/>
    <w:rsid w:val="00E92CB9"/>
    <w:rsid w:val="00EB2648"/>
    <w:rsid w:val="00EB6FFA"/>
    <w:rsid w:val="00EC2858"/>
    <w:rsid w:val="00EF5284"/>
    <w:rsid w:val="00F2379C"/>
    <w:rsid w:val="00F40A51"/>
    <w:rsid w:val="00F63575"/>
    <w:rsid w:val="00F63D9E"/>
    <w:rsid w:val="00F741F3"/>
    <w:rsid w:val="00F81946"/>
    <w:rsid w:val="00F939C5"/>
    <w:rsid w:val="00F96458"/>
    <w:rsid w:val="00FA154A"/>
    <w:rsid w:val="00FA6800"/>
    <w:rsid w:val="00FB32D4"/>
    <w:rsid w:val="00FF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585729"/>
  <w15:docId w15:val="{6AB0575E-B91D-48B7-87EE-C1171F12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5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B8B"/>
    <w:pPr>
      <w:tabs>
        <w:tab w:val="center" w:pos="4680"/>
        <w:tab w:val="right" w:pos="9360"/>
      </w:tabs>
      <w:spacing w:line="240" w:lineRule="auto"/>
    </w:pPr>
  </w:style>
  <w:style w:type="character" w:customStyle="1" w:styleId="HeaderChar">
    <w:name w:val="Header Char"/>
    <w:basedOn w:val="DefaultParagraphFont"/>
    <w:link w:val="Header"/>
    <w:uiPriority w:val="99"/>
    <w:rsid w:val="00AF3B8B"/>
  </w:style>
  <w:style w:type="paragraph" w:styleId="Footer">
    <w:name w:val="footer"/>
    <w:basedOn w:val="Normal"/>
    <w:link w:val="FooterChar"/>
    <w:uiPriority w:val="99"/>
    <w:unhideWhenUsed/>
    <w:rsid w:val="00AF3B8B"/>
    <w:pPr>
      <w:tabs>
        <w:tab w:val="center" w:pos="4680"/>
        <w:tab w:val="right" w:pos="9360"/>
      </w:tabs>
      <w:spacing w:line="240" w:lineRule="auto"/>
    </w:pPr>
  </w:style>
  <w:style w:type="character" w:customStyle="1" w:styleId="FooterChar">
    <w:name w:val="Footer Char"/>
    <w:basedOn w:val="DefaultParagraphFont"/>
    <w:link w:val="Footer"/>
    <w:uiPriority w:val="99"/>
    <w:rsid w:val="00AF3B8B"/>
  </w:style>
  <w:style w:type="paragraph" w:styleId="BalloonText">
    <w:name w:val="Balloon Text"/>
    <w:basedOn w:val="Normal"/>
    <w:link w:val="BalloonTextChar"/>
    <w:uiPriority w:val="99"/>
    <w:semiHidden/>
    <w:unhideWhenUsed/>
    <w:rsid w:val="00AF3B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B8B"/>
    <w:rPr>
      <w:rFonts w:ascii="Tahoma" w:hAnsi="Tahoma" w:cs="Tahoma"/>
      <w:sz w:val="16"/>
      <w:szCs w:val="16"/>
    </w:rPr>
  </w:style>
  <w:style w:type="paragraph" w:customStyle="1" w:styleId="Default">
    <w:name w:val="Default"/>
    <w:basedOn w:val="Normal"/>
    <w:rsid w:val="00A94437"/>
    <w:pPr>
      <w:autoSpaceDE w:val="0"/>
      <w:autoSpaceDN w:val="0"/>
      <w:spacing w:line="240" w:lineRule="auto"/>
    </w:pPr>
    <w:rPr>
      <w:rFonts w:ascii="Calibri" w:hAnsi="Calibri" w:cs="Calibri"/>
      <w:color w:val="000000"/>
      <w:sz w:val="24"/>
      <w:szCs w:val="24"/>
    </w:rPr>
  </w:style>
  <w:style w:type="table" w:styleId="TableGrid">
    <w:name w:val="Table Grid"/>
    <w:basedOn w:val="TableNormal"/>
    <w:uiPriority w:val="39"/>
    <w:rsid w:val="00A759B7"/>
    <w:pPr>
      <w:spacing w:before="60" w:line="240" w:lineRule="auto"/>
    </w:pPr>
    <w:rPr>
      <w:rFonts w:ascii="Calibri" w:eastAsiaTheme="minorEastAsia"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F5F"/>
    <w:pPr>
      <w:ind w:left="720"/>
      <w:contextualSpacing/>
    </w:pPr>
  </w:style>
  <w:style w:type="paragraph" w:styleId="NoSpacing">
    <w:name w:val="No Spacing"/>
    <w:uiPriority w:val="1"/>
    <w:qFormat/>
    <w:rsid w:val="00BE617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B962E9A5C34F488BD4417FB3E43304" ma:contentTypeVersion="7" ma:contentTypeDescription="Create a new document." ma:contentTypeScope="" ma:versionID="4d90ae2d47cec51124e3fcabf20ba814">
  <xsd:schema xmlns:xsd="http://www.w3.org/2001/XMLSchema" xmlns:xs="http://www.w3.org/2001/XMLSchema" xmlns:p="http://schemas.microsoft.com/office/2006/metadata/properties" xmlns:ns2="c0ee4e71-7fda-41b0-a802-2d5a4072e137" xmlns:ns3="c8e30928-35a8-49a8-a243-7778768a0a61" targetNamespace="http://schemas.microsoft.com/office/2006/metadata/properties" ma:root="true" ma:fieldsID="caedcc8c35a206bd25f9705244d20538" ns2:_="" ns3:_="">
    <xsd:import namespace="c0ee4e71-7fda-41b0-a802-2d5a4072e137"/>
    <xsd:import namespace="c8e30928-35a8-49a8-a243-7778768a0a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e4e71-7fda-41b0-a802-2d5a4072e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e30928-35a8-49a8-a243-7778768a0a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EA1DA-B735-4F2A-8944-D23F96B1ACB8}">
  <ds:schemaRefs>
    <ds:schemaRef ds:uri="http://purl.org/dc/dcmitype/"/>
    <ds:schemaRef ds:uri="http://schemas.microsoft.com/office/2006/documentManagement/types"/>
    <ds:schemaRef ds:uri="http://purl.org/dc/elements/1.1/"/>
    <ds:schemaRef ds:uri="c0ee4e71-7fda-41b0-a802-2d5a4072e137"/>
    <ds:schemaRef ds:uri="http://schemas.openxmlformats.org/package/2006/metadata/core-properties"/>
    <ds:schemaRef ds:uri="c8e30928-35a8-49a8-a243-7778768a0a61"/>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05D4A9D-C443-4BD2-B62D-D35F3E9F7293}">
  <ds:schemaRefs>
    <ds:schemaRef ds:uri="http://schemas.microsoft.com/sharepoint/v3/contenttype/forms"/>
  </ds:schemaRefs>
</ds:datastoreItem>
</file>

<file path=customXml/itemProps3.xml><?xml version="1.0" encoding="utf-8"?>
<ds:datastoreItem xmlns:ds="http://schemas.openxmlformats.org/officeDocument/2006/customXml" ds:itemID="{24A56318-352B-47A7-80EE-8706B0A70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e4e71-7fda-41b0-a802-2d5a4072e137"/>
    <ds:schemaRef ds:uri="c8e30928-35a8-49a8-a243-7778768a0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5</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MedInformatix</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Chen</dc:creator>
  <cp:keywords/>
  <dc:description/>
  <cp:lastModifiedBy>Betty Lengyel-Gomez</cp:lastModifiedBy>
  <cp:revision>210</cp:revision>
  <dcterms:created xsi:type="dcterms:W3CDTF">2019-01-28T15:57:00Z</dcterms:created>
  <dcterms:modified xsi:type="dcterms:W3CDTF">2019-01-29T04:51:00Z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0x0101009BB962E9A5C34F488BD4417FB3E43304</vt:lpwstr>
  </property>
</Properties>
</file>