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A8D" w:rsidRPr="00ED3991" w:rsidRDefault="008E7A8D" w:rsidP="008E7A8D">
      <w:pPr>
        <w:rPr>
          <w:rFonts w:eastAsia="Times New Roman"/>
          <w:color w:val="333333"/>
          <w:szCs w:val="20"/>
        </w:rPr>
      </w:pPr>
      <w:r w:rsidRPr="00ED3991">
        <w:rPr>
          <w:rFonts w:cs="Helvetica-Bold"/>
          <w:b/>
          <w:bCs/>
          <w:szCs w:val="20"/>
        </w:rPr>
        <w:t>Announcement</w:t>
      </w:r>
      <w:r w:rsidR="00E6758C" w:rsidRPr="00ED3991">
        <w:rPr>
          <w:rFonts w:cs="Helvetica-Bold"/>
          <w:bCs/>
          <w:szCs w:val="20"/>
        </w:rPr>
        <w:t>:</w:t>
      </w:r>
      <w:r w:rsidR="000F71CC" w:rsidRPr="00ED3991">
        <w:rPr>
          <w:rFonts w:cs="Helvetica-Bold"/>
          <w:b/>
          <w:bCs/>
          <w:szCs w:val="20"/>
        </w:rPr>
        <w:t xml:space="preserve"> </w:t>
      </w:r>
      <w:r w:rsidRPr="00ED3991">
        <w:rPr>
          <w:rFonts w:eastAsia="Times New Roman"/>
          <w:color w:val="333333"/>
          <w:szCs w:val="20"/>
        </w:rPr>
        <w:t xml:space="preserve">The U.S. Department of Health and Human Services' (HHS) Office of the National Coordinator for Health IT (ONC) issued a draft </w:t>
      </w:r>
      <w:r w:rsidRPr="00ED3991">
        <w:rPr>
          <w:rFonts w:eastAsia="Times New Roman"/>
          <w:i/>
          <w:iCs/>
          <w:color w:val="333333"/>
          <w:szCs w:val="20"/>
        </w:rPr>
        <w:t xml:space="preserve">Strategy on Reducing Regulatory and Administrative Burden Relating to the Use of Health IT and EHRs. </w:t>
      </w:r>
      <w:r w:rsidRPr="00ED3991">
        <w:rPr>
          <w:rFonts w:eastAsia="Times New Roman"/>
          <w:color w:val="333333"/>
          <w:szCs w:val="20"/>
        </w:rPr>
        <w:t>The draft addresses concerns shared by clinicians and other stakeholders that EHR burden can negatively affect provider satisfaction and ultimately the care delivery experience. Specifically, the draft strategy focuses on common sources of burden, including clinical documentation, health IT usability and user experience, EHR reporting programs, and public health reporting.</w:t>
      </w:r>
    </w:p>
    <w:p w:rsidR="008E7A8D" w:rsidRPr="00ED3991" w:rsidRDefault="008E7A8D" w:rsidP="008E7A8D">
      <w:pPr>
        <w:rPr>
          <w:rFonts w:eastAsia="Times New Roman"/>
          <w:color w:val="333333"/>
          <w:szCs w:val="20"/>
        </w:rPr>
      </w:pPr>
      <w:r w:rsidRPr="00ED3991">
        <w:rPr>
          <w:rFonts w:eastAsia="Times New Roman"/>
          <w:color w:val="333333"/>
          <w:szCs w:val="20"/>
        </w:rPr>
        <w:t xml:space="preserve">In an </w:t>
      </w:r>
      <w:hyperlink r:id="rId9" w:tooltip="ONC Buzz Blog post" w:history="1">
        <w:r w:rsidRPr="00ED3991">
          <w:rPr>
            <w:rStyle w:val="Hyperlink"/>
            <w:rFonts w:eastAsia="Times New Roman"/>
            <w:color w:val="1D6AC2"/>
            <w:szCs w:val="20"/>
          </w:rPr>
          <w:t>ONC Buzz Blog post</w:t>
        </w:r>
      </w:hyperlink>
      <w:r w:rsidRPr="00ED3991">
        <w:rPr>
          <w:rFonts w:eastAsia="Times New Roman"/>
          <w:color w:val="333333"/>
          <w:szCs w:val="20"/>
        </w:rPr>
        <w:t>, ONC chief clinical officer Andy Gettinger and CMS chief medical officer Kate Goodrich explain that the draft strategy includes recommendations that will allow physicians and other clinicians to provide effective care to their patients with a renewed sense of satisfaction for them and their patients.</w:t>
      </w:r>
    </w:p>
    <w:p w:rsidR="008E7A8D" w:rsidRPr="00ED3991" w:rsidRDefault="008E7A8D" w:rsidP="008E7A8D">
      <w:pPr>
        <w:rPr>
          <w:rFonts w:eastAsia="Times New Roman"/>
          <w:color w:val="333333"/>
          <w:szCs w:val="20"/>
        </w:rPr>
      </w:pPr>
      <w:r w:rsidRPr="00ED3991">
        <w:rPr>
          <w:rFonts w:eastAsia="Times New Roman"/>
          <w:color w:val="333333"/>
          <w:szCs w:val="20"/>
        </w:rPr>
        <w:t>We encourage all stakeholders: clinicians, health IT developers, policy makers, and any other interested individual or organization to review the report and provide comments and recommendations so HHS and the broader health care community can begin to address the issues of burden and usability outlined in this strategy.</w:t>
      </w:r>
    </w:p>
    <w:p w:rsidR="00191B24" w:rsidRDefault="00191B24" w:rsidP="0060389A">
      <w:pPr>
        <w:spacing w:after="0" w:line="240" w:lineRule="auto"/>
        <w:rPr>
          <w:rFonts w:cs="Times New Roman"/>
          <w:szCs w:val="20"/>
        </w:rPr>
      </w:pPr>
      <w:r w:rsidRPr="00ED3991">
        <w:rPr>
          <w:rFonts w:cs="Times New Roman"/>
          <w:szCs w:val="20"/>
        </w:rPr>
        <w:t>The following comments</w:t>
      </w:r>
      <w:r w:rsidR="000D58AC" w:rsidRPr="00ED3991">
        <w:rPr>
          <w:rFonts w:cs="Times New Roman"/>
          <w:szCs w:val="20"/>
        </w:rPr>
        <w:t xml:space="preserve"> </w:t>
      </w:r>
      <w:r w:rsidRPr="00ED3991">
        <w:rPr>
          <w:rFonts w:cs="Times New Roman"/>
          <w:szCs w:val="20"/>
        </w:rPr>
        <w:t>are submitted by Quest Diagnostics</w:t>
      </w:r>
      <w:r w:rsidR="009033AE" w:rsidRPr="00ED3991">
        <w:rPr>
          <w:rFonts w:cs="Times New Roman"/>
          <w:szCs w:val="20"/>
        </w:rPr>
        <w:t>:</w:t>
      </w:r>
    </w:p>
    <w:tbl>
      <w:tblPr>
        <w:tblStyle w:val="MediumShading1-Accent1112"/>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3F3B25" w:rsidRPr="00517D5D" w:rsidTr="00132535">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3F3B25" w:rsidRPr="00ED3991" w:rsidRDefault="003F3B25" w:rsidP="003F3B25">
            <w:pPr>
              <w:spacing w:line="276" w:lineRule="auto"/>
              <w:rPr>
                <w:b w:val="0"/>
                <w:bCs w:val="0"/>
                <w:szCs w:val="20"/>
              </w:rPr>
            </w:pPr>
            <w:r w:rsidRPr="00ED3991">
              <w:rPr>
                <w:b w:val="0"/>
                <w:bCs w:val="0"/>
                <w:szCs w:val="20"/>
              </w:rPr>
              <w:t>Page #</w:t>
            </w:r>
            <w:r>
              <w:rPr>
                <w:b w:val="0"/>
                <w:bCs w:val="0"/>
                <w:szCs w:val="20"/>
              </w:rPr>
              <w:t>n/a</w:t>
            </w:r>
          </w:p>
        </w:tc>
      </w:tr>
      <w:tr w:rsidR="003F3B25" w:rsidRPr="00517D5D" w:rsidTr="00132535">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3F3B25" w:rsidRPr="00ED3991" w:rsidRDefault="003F3B25" w:rsidP="00132535">
            <w:pPr>
              <w:autoSpaceDE w:val="0"/>
              <w:autoSpaceDN w:val="0"/>
              <w:adjustRightInd w:val="0"/>
              <w:rPr>
                <w:rFonts w:eastAsiaTheme="minorHAnsi" w:cs="Calibri"/>
                <w:color w:val="000000"/>
                <w:szCs w:val="20"/>
              </w:rPr>
            </w:pPr>
            <w:r w:rsidRPr="00ED3991">
              <w:rPr>
                <w:rFonts w:eastAsiaTheme="minorHAnsi" w:cs="Calibri"/>
                <w:color w:val="000000"/>
                <w:szCs w:val="20"/>
              </w:rPr>
              <w:t>Text:</w:t>
            </w:r>
          </w:p>
          <w:p w:rsidR="003F3B25" w:rsidRPr="00ED3991" w:rsidRDefault="003F3B25" w:rsidP="00132535">
            <w:pPr>
              <w:rPr>
                <w:rFonts w:eastAsiaTheme="minorHAnsi" w:cs="Calibri"/>
                <w:b w:val="0"/>
                <w:color w:val="000000"/>
                <w:szCs w:val="20"/>
              </w:rPr>
            </w:pPr>
            <w:r>
              <w:rPr>
                <w:rFonts w:eastAsiaTheme="minorHAnsi" w:cs="Calibri"/>
                <w:b w:val="0"/>
                <w:color w:val="000000"/>
                <w:szCs w:val="20"/>
              </w:rPr>
              <w:t>n/a</w:t>
            </w:r>
          </w:p>
        </w:tc>
      </w:tr>
      <w:tr w:rsidR="003F3B25" w:rsidRPr="00517D5D" w:rsidTr="00132535">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3F3B25" w:rsidRPr="00ED3991" w:rsidRDefault="003F3B25" w:rsidP="00132535">
            <w:pPr>
              <w:spacing w:before="40" w:after="60" w:line="276" w:lineRule="auto"/>
              <w:rPr>
                <w:szCs w:val="20"/>
              </w:rPr>
            </w:pPr>
            <w:r w:rsidRPr="00ED3991">
              <w:rPr>
                <w:bCs w:val="0"/>
                <w:szCs w:val="20"/>
              </w:rPr>
              <w:t>Comment:</w:t>
            </w:r>
          </w:p>
          <w:p w:rsidR="003F3B25" w:rsidRPr="00517D5D" w:rsidRDefault="003F3B25" w:rsidP="003F3B25">
            <w:pPr>
              <w:spacing w:before="40" w:after="60"/>
              <w:rPr>
                <w:b w:val="0"/>
                <w:szCs w:val="20"/>
              </w:rPr>
            </w:pPr>
            <w:r>
              <w:rPr>
                <w:b w:val="0"/>
                <w:szCs w:val="20"/>
              </w:rPr>
              <w:t>For final publication, please add navigation panel/bookmarks to the .pdf.</w:t>
            </w:r>
          </w:p>
        </w:tc>
      </w:tr>
    </w:tbl>
    <w:p w:rsidR="003F3B25" w:rsidRDefault="003F3B25" w:rsidP="0060389A">
      <w:pPr>
        <w:spacing w:after="0" w:line="240" w:lineRule="auto"/>
        <w:rPr>
          <w:rFonts w:cs="Times New Roman"/>
          <w:szCs w:val="20"/>
        </w:rPr>
      </w:pPr>
    </w:p>
    <w:tbl>
      <w:tblPr>
        <w:tblStyle w:val="MediumShading1-Accent1112"/>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9033AE" w:rsidRPr="00517D5D" w:rsidTr="003E6E42">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8E7A8D" w:rsidRPr="00ED3991" w:rsidRDefault="00A91058" w:rsidP="00285D98">
            <w:pPr>
              <w:spacing w:line="276" w:lineRule="auto"/>
              <w:rPr>
                <w:b w:val="0"/>
                <w:bCs w:val="0"/>
                <w:szCs w:val="20"/>
              </w:rPr>
            </w:pPr>
            <w:r w:rsidRPr="00ED3991">
              <w:rPr>
                <w:b w:val="0"/>
                <w:bCs w:val="0"/>
                <w:szCs w:val="20"/>
              </w:rPr>
              <w:t>Page #</w:t>
            </w:r>
            <w:r w:rsidR="00AC1A47" w:rsidRPr="00ED3991">
              <w:rPr>
                <w:b w:val="0"/>
                <w:bCs w:val="0"/>
                <w:szCs w:val="20"/>
              </w:rPr>
              <w:t>12-13</w:t>
            </w:r>
          </w:p>
        </w:tc>
      </w:tr>
      <w:tr w:rsidR="009033AE" w:rsidRPr="00523D60" w:rsidTr="003E6E42">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9033AE" w:rsidRPr="00523D60" w:rsidRDefault="003151C8" w:rsidP="003151C8">
            <w:pPr>
              <w:autoSpaceDE w:val="0"/>
              <w:autoSpaceDN w:val="0"/>
              <w:adjustRightInd w:val="0"/>
              <w:rPr>
                <w:rFonts w:eastAsiaTheme="minorHAnsi" w:cs="Calibri"/>
                <w:color w:val="000000"/>
                <w:szCs w:val="20"/>
              </w:rPr>
            </w:pPr>
            <w:r w:rsidRPr="00523D60">
              <w:rPr>
                <w:rFonts w:eastAsiaTheme="minorHAnsi" w:cs="Calibri"/>
                <w:color w:val="000000"/>
                <w:szCs w:val="20"/>
              </w:rPr>
              <w:t>Text:</w:t>
            </w:r>
          </w:p>
          <w:p w:rsidR="003151C8" w:rsidRPr="00523D60" w:rsidRDefault="00AC1A47" w:rsidP="00ED3991">
            <w:pPr>
              <w:rPr>
                <w:rFonts w:eastAsiaTheme="minorHAnsi" w:cs="Calibri"/>
                <w:b w:val="0"/>
                <w:color w:val="000000"/>
                <w:szCs w:val="20"/>
              </w:rPr>
            </w:pPr>
            <w:r w:rsidRPr="00523D60">
              <w:rPr>
                <w:b w:val="0"/>
                <w:szCs w:val="20"/>
              </w:rPr>
              <w:t>The section identifies several areas where EHR and heath care IT products can be improved to reduce burden experienced by clinicians using these products, including: alignment of heath care IT (e.g., EHR) with the clinical workflow; improvements to the graphical user interface (GUI); increasing standardization around presentation of clinical content within the EHR, such as medication ordering and laboratory result displays; and improved processes around the configuration and implementation of EHRs, which proactively engage the end user.</w:t>
            </w:r>
          </w:p>
        </w:tc>
      </w:tr>
      <w:tr w:rsidR="009033AE" w:rsidRPr="00517D5D" w:rsidTr="003E6E42">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9033AE" w:rsidRPr="00523D60" w:rsidRDefault="009033AE" w:rsidP="009033AE">
            <w:pPr>
              <w:spacing w:before="40" w:after="60" w:line="276" w:lineRule="auto"/>
              <w:rPr>
                <w:szCs w:val="20"/>
              </w:rPr>
            </w:pPr>
            <w:r w:rsidRPr="00523D60">
              <w:rPr>
                <w:bCs w:val="0"/>
                <w:szCs w:val="20"/>
              </w:rPr>
              <w:t>Comment:</w:t>
            </w:r>
          </w:p>
          <w:p w:rsidR="00F02D02" w:rsidRPr="00523D60" w:rsidRDefault="00F02D02" w:rsidP="00523D60">
            <w:pPr>
              <w:spacing w:before="40" w:after="60"/>
              <w:rPr>
                <w:b w:val="0"/>
                <w:szCs w:val="20"/>
              </w:rPr>
            </w:pPr>
            <w:r w:rsidRPr="00523D60">
              <w:rPr>
                <w:b w:val="0"/>
                <w:szCs w:val="20"/>
              </w:rPr>
              <w:t>Laboratory results are used in the majority of medical decisions so we concur that their display is important.  We strongly suggest that the laboratory community be consulted for input on the display of laboratory results, for example, through the American Clinical Laboratory Association (</w:t>
            </w:r>
            <w:hyperlink r:id="rId10" w:history="1">
              <w:r w:rsidRPr="00523D60">
                <w:rPr>
                  <w:rStyle w:val="Hyperlink"/>
                  <w:b w:val="0"/>
                  <w:bCs w:val="0"/>
                  <w:szCs w:val="20"/>
                </w:rPr>
                <w:t>ACLA</w:t>
              </w:r>
            </w:hyperlink>
            <w:r w:rsidRPr="00523D60">
              <w:rPr>
                <w:b w:val="0"/>
                <w:szCs w:val="20"/>
              </w:rPr>
              <w:t xml:space="preserve">).  Additionally CLIA contains regulations which may impact design decisions, which should be coordinated with </w:t>
            </w:r>
            <w:r w:rsidR="00523D60" w:rsidRPr="00523D60">
              <w:rPr>
                <w:b w:val="0"/>
                <w:szCs w:val="20"/>
              </w:rPr>
              <w:t>the CMS Division of Laboratory Improvement and Quality (which regulates CLIA) and ONC.</w:t>
            </w:r>
          </w:p>
          <w:p w:rsidR="008601E7" w:rsidRPr="00523D60" w:rsidRDefault="00F02D02" w:rsidP="00523D60">
            <w:pPr>
              <w:spacing w:before="40" w:after="60" w:line="276" w:lineRule="auto"/>
              <w:rPr>
                <w:b w:val="0"/>
                <w:color w:val="000000" w:themeColor="text1"/>
                <w:szCs w:val="20"/>
              </w:rPr>
            </w:pPr>
            <w:r w:rsidRPr="00523D60">
              <w:rPr>
                <w:rFonts w:eastAsiaTheme="minorHAnsi" w:cs="Times New Roman"/>
                <w:b w:val="0"/>
                <w:color w:val="000000" w:themeColor="text1"/>
                <w:szCs w:val="20"/>
              </w:rPr>
              <w:t>The CLIA Regulations at 42 CFR 493.1291 - Test Report define the items that must appear on a clinical laboratory report. Note that the value(s) of some items that are supplied on the order and flow through to the Test Report are defined in 42 CFR 493.1241 - Test Request, 42 CFR 493.1273 – Histopathology, 42 CFR 493.1274 – Cytology, 42 CFR 493.1276 – Clinical Cytogenetics, and 42 CFR 493.1278 - Histocompatibility.</w:t>
            </w:r>
          </w:p>
        </w:tc>
      </w:tr>
    </w:tbl>
    <w:p w:rsidR="00523D60" w:rsidRDefault="00523D60" w:rsidP="009033AE">
      <w:pPr>
        <w:rPr>
          <w:szCs w:val="20"/>
        </w:rPr>
      </w:pPr>
    </w:p>
    <w:p w:rsidR="00523D60" w:rsidRDefault="00523D60">
      <w:pPr>
        <w:rPr>
          <w:szCs w:val="20"/>
        </w:rPr>
      </w:pPr>
      <w:r>
        <w:rPr>
          <w:szCs w:val="20"/>
        </w:rPr>
        <w:br w:type="page"/>
      </w:r>
    </w:p>
    <w:p w:rsidR="009033AE" w:rsidRPr="00ED3991" w:rsidRDefault="009033AE" w:rsidP="009033AE">
      <w:pPr>
        <w:rPr>
          <w:szCs w:val="20"/>
        </w:rPr>
      </w:pPr>
    </w:p>
    <w:tbl>
      <w:tblPr>
        <w:tblStyle w:val="MediumShading1-Accent1112"/>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9033AE" w:rsidRPr="00517D5D" w:rsidTr="003E6E42">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284617" w:rsidRPr="00ED3991" w:rsidRDefault="00A91058" w:rsidP="00284617">
            <w:pPr>
              <w:spacing w:line="276" w:lineRule="auto"/>
              <w:rPr>
                <w:b w:val="0"/>
                <w:bCs w:val="0"/>
                <w:szCs w:val="20"/>
              </w:rPr>
            </w:pPr>
            <w:r w:rsidRPr="00ED3991">
              <w:rPr>
                <w:b w:val="0"/>
                <w:bCs w:val="0"/>
                <w:szCs w:val="20"/>
              </w:rPr>
              <w:t>Page #</w:t>
            </w:r>
            <w:r w:rsidR="00AC1A47" w:rsidRPr="00ED3991">
              <w:rPr>
                <w:b w:val="0"/>
                <w:bCs w:val="0"/>
                <w:szCs w:val="20"/>
              </w:rPr>
              <w:t>13</w:t>
            </w:r>
          </w:p>
        </w:tc>
      </w:tr>
      <w:tr w:rsidR="009033AE" w:rsidRPr="00517D5D" w:rsidTr="003E6E42">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284617" w:rsidRPr="00ED3991" w:rsidRDefault="000F71CC" w:rsidP="00284617">
            <w:pPr>
              <w:autoSpaceDE w:val="0"/>
              <w:autoSpaceDN w:val="0"/>
              <w:adjustRightInd w:val="0"/>
              <w:rPr>
                <w:rFonts w:eastAsiaTheme="minorHAnsi" w:cs="Calibri"/>
                <w:color w:val="000000"/>
                <w:szCs w:val="20"/>
              </w:rPr>
            </w:pPr>
            <w:r w:rsidRPr="00ED3991">
              <w:rPr>
                <w:rFonts w:eastAsiaTheme="minorHAnsi" w:cs="Calibri"/>
                <w:color w:val="000000"/>
                <w:szCs w:val="20"/>
              </w:rPr>
              <w:t xml:space="preserve">Text: </w:t>
            </w:r>
          </w:p>
          <w:p w:rsidR="00AC1A47" w:rsidRPr="00AC1A47" w:rsidRDefault="00AC1A47" w:rsidP="00AC1A47">
            <w:pPr>
              <w:autoSpaceDE w:val="0"/>
              <w:autoSpaceDN w:val="0"/>
              <w:adjustRightInd w:val="0"/>
              <w:rPr>
                <w:rFonts w:ascii="Calibri" w:eastAsiaTheme="minorHAnsi" w:hAnsi="Calibri" w:cs="Calibri"/>
                <w:color w:val="046CB0"/>
                <w:szCs w:val="20"/>
              </w:rPr>
            </w:pPr>
            <w:r w:rsidRPr="00AC1A47">
              <w:rPr>
                <w:rFonts w:ascii="Calibri" w:eastAsiaTheme="minorHAnsi" w:hAnsi="Calibri" w:cs="Calibri"/>
                <w:color w:val="046CB0"/>
                <w:szCs w:val="20"/>
              </w:rPr>
              <w:t xml:space="preserve">EHR Reporting </w:t>
            </w:r>
          </w:p>
          <w:p w:rsidR="00AC1A47" w:rsidRPr="00ED3991" w:rsidRDefault="00AC1A47" w:rsidP="00ED3991">
            <w:pPr>
              <w:rPr>
                <w:rFonts w:eastAsiaTheme="minorHAnsi"/>
                <w:b w:val="0"/>
                <w:color w:val="000000"/>
              </w:rPr>
            </w:pPr>
            <w:r w:rsidRPr="00ED3991">
              <w:rPr>
                <w:rFonts w:eastAsiaTheme="minorHAnsi"/>
                <w:b w:val="0"/>
              </w:rPr>
              <w:t xml:space="preserve">This section looks at the EHR-related burden associated with federal programs that require health care providers to report performance data using health IT, particularly the Promoting Interoperability Programs, formerly known as the Medicare and Medicaid EHR Incentive Programs, and MIPS. </w:t>
            </w:r>
          </w:p>
          <w:p w:rsidR="000F71CC" w:rsidRPr="00517D5D" w:rsidRDefault="00AC1A47" w:rsidP="00AC1A47">
            <w:pPr>
              <w:autoSpaceDE w:val="0"/>
              <w:autoSpaceDN w:val="0"/>
              <w:adjustRightInd w:val="0"/>
              <w:rPr>
                <w:rFonts w:eastAsiaTheme="minorHAnsi" w:cs="Calibri"/>
                <w:b w:val="0"/>
                <w:color w:val="000000"/>
                <w:szCs w:val="20"/>
              </w:rPr>
            </w:pPr>
            <w:r w:rsidRPr="00ED3991">
              <w:rPr>
                <w:rFonts w:ascii="Calibri" w:eastAsiaTheme="minorHAnsi" w:hAnsi="Calibri" w:cs="Calibri"/>
                <w:b w:val="0"/>
                <w:bCs w:val="0"/>
                <w:color w:val="3B3B3A"/>
                <w:szCs w:val="20"/>
              </w:rPr>
              <w:t>The current design and administration of these programs may impose burden on clinicians in a variety of ways. For instance, regulatory requirements and timelines are often misaligned across programs and subject to frequent updates, which require significant investments from clinicians to ensure annual compliance. Government requirements are often also poorly aligned with the reporting requirements across many of the federal payer programs in which clinicians may participate, thus, requiring additional work on the part of the health care provider.</w:t>
            </w:r>
          </w:p>
        </w:tc>
      </w:tr>
      <w:tr w:rsidR="009033AE" w:rsidRPr="009033AE" w:rsidTr="003E6E42">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9033AE" w:rsidRPr="00ED3991" w:rsidRDefault="009033AE" w:rsidP="009033AE">
            <w:pPr>
              <w:spacing w:before="40" w:after="60" w:line="276" w:lineRule="auto"/>
              <w:rPr>
                <w:szCs w:val="20"/>
              </w:rPr>
            </w:pPr>
            <w:r w:rsidRPr="00ED3991">
              <w:rPr>
                <w:bCs w:val="0"/>
                <w:szCs w:val="20"/>
              </w:rPr>
              <w:t>Comment:</w:t>
            </w:r>
          </w:p>
          <w:p w:rsidR="008601E7" w:rsidRDefault="008601E7" w:rsidP="001268E1">
            <w:pPr>
              <w:spacing w:before="40" w:after="60"/>
              <w:rPr>
                <w:b w:val="0"/>
                <w:szCs w:val="20"/>
              </w:rPr>
            </w:pPr>
            <w:r>
              <w:rPr>
                <w:b w:val="0"/>
                <w:szCs w:val="20"/>
              </w:rPr>
              <w:t>ACLA:</w:t>
            </w:r>
          </w:p>
          <w:p w:rsidR="008601E7" w:rsidRPr="00ED3991" w:rsidRDefault="008601E7" w:rsidP="001268E1">
            <w:pPr>
              <w:spacing w:before="40" w:after="60"/>
              <w:rPr>
                <w:b w:val="0"/>
                <w:szCs w:val="20"/>
              </w:rPr>
            </w:pPr>
            <w:r w:rsidRPr="008601E7">
              <w:rPr>
                <w:b w:val="0"/>
                <w:szCs w:val="20"/>
              </w:rPr>
              <w:t xml:space="preserve">To minimize provider burden, we strongly support federal agency efforts to harmonize/align federal program reporting requirements across agencies.  Confusion and duplicative regulation, requirements or guidance can often result if multiple government agencies are concurrently governing Health IT and EHR realms.  Ultimately, such confusion or duplication could hamper proper coordination for patient care and impede progress for both interoperability and better utilization of EHRs.  To the extent possible, Health IT and EHR realms should be governed through a single, coordinated government process or body.  </w:t>
            </w:r>
          </w:p>
        </w:tc>
      </w:tr>
    </w:tbl>
    <w:p w:rsidR="00523D60" w:rsidRDefault="00523D60" w:rsidP="009033AE">
      <w:pPr>
        <w:rPr>
          <w:szCs w:val="20"/>
        </w:rPr>
      </w:pPr>
    </w:p>
    <w:tbl>
      <w:tblPr>
        <w:tblStyle w:val="MediumShading1-Accent1112"/>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3151C8" w:rsidRPr="00517D5D" w:rsidTr="00C10624">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3151C8" w:rsidRPr="00ED3991" w:rsidRDefault="00A91058" w:rsidP="00C10624">
            <w:pPr>
              <w:spacing w:line="276" w:lineRule="auto"/>
              <w:rPr>
                <w:b w:val="0"/>
                <w:bCs w:val="0"/>
                <w:szCs w:val="20"/>
              </w:rPr>
            </w:pPr>
            <w:r w:rsidRPr="00ED3991">
              <w:rPr>
                <w:b w:val="0"/>
                <w:bCs w:val="0"/>
                <w:szCs w:val="20"/>
              </w:rPr>
              <w:t>Page #</w:t>
            </w:r>
            <w:r w:rsidR="004928F6" w:rsidRPr="00ED3991">
              <w:rPr>
                <w:b w:val="0"/>
                <w:bCs w:val="0"/>
                <w:szCs w:val="20"/>
              </w:rPr>
              <w:t>31</w:t>
            </w:r>
          </w:p>
        </w:tc>
      </w:tr>
      <w:tr w:rsidR="003151C8" w:rsidRPr="00517D5D" w:rsidTr="003E6FD7">
        <w:trPr>
          <w:cnfStyle w:val="100000000000" w:firstRow="1" w:lastRow="0" w:firstColumn="0" w:lastColumn="0" w:oddVBand="0" w:evenVBand="0" w:oddHBand="0" w:evenHBand="0" w:firstRowFirstColumn="0" w:firstRowLastColumn="0" w:lastRowFirstColumn="0" w:lastRowLastColumn="0"/>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3151C8" w:rsidRPr="00ED3991" w:rsidRDefault="003151C8" w:rsidP="00C10624">
            <w:pPr>
              <w:autoSpaceDE w:val="0"/>
              <w:autoSpaceDN w:val="0"/>
              <w:adjustRightInd w:val="0"/>
              <w:rPr>
                <w:rFonts w:eastAsiaTheme="minorHAnsi" w:cs="Calibri"/>
                <w:color w:val="000000"/>
                <w:szCs w:val="20"/>
              </w:rPr>
            </w:pPr>
            <w:r w:rsidRPr="00ED3991">
              <w:rPr>
                <w:rFonts w:eastAsiaTheme="minorHAnsi" w:cs="Calibri"/>
                <w:color w:val="000000"/>
                <w:szCs w:val="20"/>
              </w:rPr>
              <w:t xml:space="preserve">Text: </w:t>
            </w:r>
          </w:p>
          <w:p w:rsidR="004928F6" w:rsidRPr="004928F6" w:rsidRDefault="004928F6" w:rsidP="004928F6">
            <w:pPr>
              <w:autoSpaceDE w:val="0"/>
              <w:autoSpaceDN w:val="0"/>
              <w:adjustRightInd w:val="0"/>
              <w:rPr>
                <w:rFonts w:ascii="Calibri" w:eastAsiaTheme="minorHAnsi" w:hAnsi="Calibri" w:cs="Calibri"/>
                <w:color w:val="003C6F"/>
                <w:szCs w:val="20"/>
              </w:rPr>
            </w:pPr>
            <w:r w:rsidRPr="004928F6">
              <w:rPr>
                <w:rFonts w:ascii="Calibri" w:eastAsiaTheme="minorHAnsi" w:hAnsi="Calibri" w:cs="Calibri"/>
                <w:color w:val="003C6F"/>
                <w:szCs w:val="20"/>
              </w:rPr>
              <w:t xml:space="preserve">EHRs and Cognitive Support for Clinical Workflow </w:t>
            </w:r>
          </w:p>
          <w:p w:rsidR="003151C8" w:rsidRPr="00517D5D" w:rsidRDefault="004928F6" w:rsidP="004928F6">
            <w:pPr>
              <w:autoSpaceDE w:val="0"/>
              <w:autoSpaceDN w:val="0"/>
              <w:adjustRightInd w:val="0"/>
              <w:rPr>
                <w:rFonts w:eastAsiaTheme="minorHAnsi" w:cs="Calibri"/>
                <w:b w:val="0"/>
                <w:color w:val="000000"/>
                <w:szCs w:val="20"/>
              </w:rPr>
            </w:pPr>
            <w:r w:rsidRPr="00ED3991">
              <w:rPr>
                <w:rFonts w:ascii="Calibri" w:eastAsiaTheme="minorHAnsi" w:hAnsi="Calibri" w:cs="Calibri"/>
                <w:b w:val="0"/>
                <w:bCs w:val="0"/>
                <w:color w:val="3B3B3A"/>
                <w:szCs w:val="20"/>
              </w:rPr>
              <w:t xml:space="preserve">EHRs have evolved into more than just serving as an electronic patient chart; they have become an important tool that can facilitate a myriad of clinical and administrative tasks. In addition to maintaining copies of a patient’s clinical documentation, EHRs also serve as an </w:t>
            </w:r>
            <w:r w:rsidRPr="00DB47F6">
              <w:rPr>
                <w:rFonts w:ascii="Calibri" w:eastAsiaTheme="minorHAnsi" w:hAnsi="Calibri" w:cs="Calibri"/>
                <w:b w:val="0"/>
                <w:bCs w:val="0"/>
                <w:color w:val="3B3B3A"/>
                <w:szCs w:val="20"/>
              </w:rPr>
              <w:t>interface to laboratory,</w:t>
            </w:r>
            <w:r w:rsidRPr="00ED3991">
              <w:rPr>
                <w:rFonts w:ascii="Calibri" w:eastAsiaTheme="minorHAnsi" w:hAnsi="Calibri" w:cs="Calibri"/>
                <w:b w:val="0"/>
                <w:bCs w:val="0"/>
                <w:color w:val="3B3B3A"/>
                <w:szCs w:val="20"/>
              </w:rPr>
              <w:t xml:space="preserve"> imaging, and other diagnostic study results, a correspondence medium serving as a dedicated clinical e-mail system, and, importantly, a powerful tool for initiating clinician orders. As EHRs continue to evolve, it is imperative that they support the workflows that have been established in clinical practice so as not to add to clinician burden. While EHRs have improved some aspects of the clinical workflow—for example, a patient’s medical history is now available at a glance and electronic prescribing is widely regarded as a success story—areas for improvement still remain.</w:t>
            </w:r>
          </w:p>
        </w:tc>
      </w:tr>
      <w:tr w:rsidR="003151C8" w:rsidRPr="009033AE" w:rsidTr="003E6FD7">
        <w:trPr>
          <w:cnfStyle w:val="100000000000" w:firstRow="1" w:lastRow="0" w:firstColumn="0" w:lastColumn="0" w:oddVBand="0" w:evenVBand="0" w:oddHBand="0" w:evenHBand="0" w:firstRowFirstColumn="0" w:firstRowLastColumn="0" w:lastRowFirstColumn="0" w:lastRowLastColumn="0"/>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3151C8" w:rsidRPr="00ED3991" w:rsidRDefault="003151C8" w:rsidP="00C10624">
            <w:pPr>
              <w:spacing w:before="40" w:after="60" w:line="276" w:lineRule="auto"/>
              <w:rPr>
                <w:szCs w:val="20"/>
              </w:rPr>
            </w:pPr>
            <w:r w:rsidRPr="00ED3991">
              <w:rPr>
                <w:bCs w:val="0"/>
                <w:szCs w:val="20"/>
              </w:rPr>
              <w:lastRenderedPageBreak/>
              <w:t>Comment:</w:t>
            </w:r>
          </w:p>
          <w:p w:rsidR="004928F6" w:rsidRPr="003E6FD7" w:rsidRDefault="004928F6" w:rsidP="00CB4AC3">
            <w:pPr>
              <w:pStyle w:val="Default"/>
              <w:rPr>
                <w:rFonts w:asciiTheme="minorHAnsi" w:eastAsiaTheme="minorHAnsi" w:hAnsiTheme="minorHAnsi" w:cs="Arial"/>
                <w:b w:val="0"/>
                <w:sz w:val="20"/>
                <w:szCs w:val="20"/>
              </w:rPr>
            </w:pPr>
            <w:r w:rsidRPr="00ED3991">
              <w:rPr>
                <w:rFonts w:asciiTheme="minorHAnsi" w:hAnsiTheme="minorHAnsi"/>
                <w:b w:val="0"/>
                <w:sz w:val="20"/>
                <w:szCs w:val="20"/>
              </w:rPr>
              <w:t xml:space="preserve">In the US, laboratory interfaces are required to </w:t>
            </w:r>
            <w:r w:rsidR="00ED3991" w:rsidRPr="00ED3991">
              <w:rPr>
                <w:rFonts w:asciiTheme="minorHAnsi" w:hAnsiTheme="minorHAnsi"/>
                <w:b w:val="0"/>
                <w:sz w:val="20"/>
                <w:szCs w:val="20"/>
              </w:rPr>
              <w:t xml:space="preserve">meet </w:t>
            </w:r>
            <w:r w:rsidRPr="00ED3991">
              <w:rPr>
                <w:rFonts w:asciiTheme="minorHAnsi" w:hAnsiTheme="minorHAnsi"/>
                <w:b w:val="0"/>
                <w:sz w:val="20"/>
                <w:szCs w:val="20"/>
              </w:rPr>
              <w:t>CLIA</w:t>
            </w:r>
            <w:r w:rsidR="00ED3991" w:rsidRPr="00ED3991">
              <w:rPr>
                <w:rFonts w:asciiTheme="minorHAnsi" w:hAnsiTheme="minorHAnsi"/>
                <w:b w:val="0"/>
                <w:sz w:val="20"/>
                <w:szCs w:val="20"/>
              </w:rPr>
              <w:t xml:space="preserve"> regulations</w:t>
            </w:r>
            <w:r w:rsidRPr="00ED3991">
              <w:rPr>
                <w:rFonts w:asciiTheme="minorHAnsi" w:hAnsiTheme="minorHAnsi"/>
                <w:b w:val="0"/>
                <w:sz w:val="20"/>
                <w:szCs w:val="20"/>
              </w:rPr>
              <w:t>. In keeping with the goal to decrease provider burden, we strongly recommend that federal agencies collaborate to eliminate duplicative requirements.  We suggest that EHR systems certified</w:t>
            </w:r>
            <w:r w:rsidR="00CB4AC3" w:rsidRPr="00ED3991">
              <w:rPr>
                <w:rFonts w:asciiTheme="minorHAnsi" w:hAnsiTheme="minorHAnsi"/>
                <w:b w:val="0"/>
                <w:sz w:val="20"/>
                <w:szCs w:val="20"/>
              </w:rPr>
              <w:t xml:space="preserve"> </w:t>
            </w:r>
            <w:r w:rsidR="00CB4AC3" w:rsidRPr="00ED3991">
              <w:rPr>
                <w:rFonts w:asciiTheme="minorHAnsi" w:hAnsiTheme="minorHAnsi"/>
                <w:sz w:val="20"/>
                <w:szCs w:val="20"/>
                <w:u w:val="single"/>
              </w:rPr>
              <w:t>and implementing</w:t>
            </w:r>
            <w:r w:rsidR="00CB4AC3" w:rsidRPr="00ED3991">
              <w:rPr>
                <w:rFonts w:asciiTheme="minorHAnsi" w:hAnsiTheme="minorHAnsi"/>
                <w:b w:val="0"/>
                <w:sz w:val="20"/>
                <w:szCs w:val="20"/>
              </w:rPr>
              <w:t xml:space="preserve"> </w:t>
            </w:r>
            <w:r w:rsidRPr="00ED3991">
              <w:rPr>
                <w:rFonts w:asciiTheme="minorHAnsi" w:hAnsiTheme="minorHAnsi"/>
                <w:b w:val="0"/>
                <w:sz w:val="20"/>
                <w:szCs w:val="20"/>
              </w:rPr>
              <w:t xml:space="preserve">the </w:t>
            </w:r>
            <w:r w:rsidR="00ED3991" w:rsidRPr="00ED3991">
              <w:rPr>
                <w:rFonts w:asciiTheme="minorHAnsi" w:hAnsiTheme="minorHAnsi"/>
                <w:b w:val="0"/>
                <w:sz w:val="20"/>
                <w:szCs w:val="20"/>
              </w:rPr>
              <w:t>“</w:t>
            </w:r>
            <w:r w:rsidRPr="004928F6">
              <w:rPr>
                <w:rFonts w:asciiTheme="minorHAnsi" w:eastAsiaTheme="minorHAnsi" w:hAnsiTheme="minorHAnsi" w:cs="Arial"/>
                <w:sz w:val="20"/>
                <w:szCs w:val="20"/>
              </w:rPr>
              <w:t>HL7 Version 2.5.1 Implementation Guide: Lab Results</w:t>
            </w:r>
            <w:r w:rsidRPr="00ED3991">
              <w:rPr>
                <w:rFonts w:asciiTheme="minorHAnsi" w:eastAsiaTheme="minorHAnsi" w:hAnsiTheme="minorHAnsi" w:cs="Arial"/>
                <w:sz w:val="20"/>
                <w:szCs w:val="20"/>
              </w:rPr>
              <w:t xml:space="preserve"> Interface (LRI)</w:t>
            </w:r>
            <w:r w:rsidR="00ED3991" w:rsidRPr="00ED3991">
              <w:rPr>
                <w:rFonts w:asciiTheme="minorHAnsi" w:eastAsiaTheme="minorHAnsi" w:hAnsiTheme="minorHAnsi" w:cs="Arial"/>
                <w:sz w:val="20"/>
                <w:szCs w:val="20"/>
              </w:rPr>
              <w:t>”</w:t>
            </w:r>
            <w:r w:rsidR="00E80547">
              <w:rPr>
                <w:rFonts w:asciiTheme="minorHAnsi" w:eastAsiaTheme="minorHAnsi" w:hAnsiTheme="minorHAnsi" w:cs="Arial"/>
                <w:sz w:val="20"/>
                <w:szCs w:val="20"/>
              </w:rPr>
              <w:t xml:space="preserve"> </w:t>
            </w:r>
            <w:r w:rsidR="00CB4AC3" w:rsidRPr="00ED3991">
              <w:rPr>
                <w:rFonts w:asciiTheme="minorHAnsi" w:eastAsiaTheme="minorHAnsi" w:hAnsiTheme="minorHAnsi" w:cs="Arial"/>
                <w:b w:val="0"/>
                <w:sz w:val="20"/>
                <w:szCs w:val="20"/>
              </w:rPr>
              <w:t>(</w:t>
            </w:r>
            <w:r w:rsidRPr="00ED3991">
              <w:rPr>
                <w:rFonts w:asciiTheme="minorHAnsi" w:eastAsiaTheme="minorHAnsi" w:hAnsiTheme="minorHAnsi" w:cs="Arial"/>
                <w:b w:val="0"/>
                <w:sz w:val="20"/>
                <w:szCs w:val="20"/>
              </w:rPr>
              <w:t xml:space="preserve">originally developed </w:t>
            </w:r>
            <w:r w:rsidR="00CB4AC3" w:rsidRPr="00ED3991">
              <w:rPr>
                <w:rFonts w:asciiTheme="minorHAnsi" w:eastAsiaTheme="minorHAnsi" w:hAnsiTheme="minorHAnsi" w:cs="Arial"/>
                <w:b w:val="0"/>
                <w:sz w:val="20"/>
                <w:szCs w:val="20"/>
              </w:rPr>
              <w:t xml:space="preserve">through ONC’s Standards &amp; Interoperability Framework) should not be required to additionally secure CLIA </w:t>
            </w:r>
            <w:r w:rsidR="00CB4AC3" w:rsidRPr="003D45E9">
              <w:rPr>
                <w:rFonts w:asciiTheme="minorHAnsi" w:eastAsiaTheme="minorHAnsi" w:hAnsiTheme="minorHAnsi" w:cs="Arial"/>
                <w:b w:val="0"/>
                <w:sz w:val="20"/>
                <w:szCs w:val="20"/>
              </w:rPr>
              <w:t>accreditation.</w:t>
            </w:r>
            <w:r w:rsidR="001268E1" w:rsidRPr="00ED3991">
              <w:rPr>
                <w:rFonts w:asciiTheme="minorHAnsi" w:eastAsiaTheme="minorHAnsi" w:hAnsiTheme="minorHAnsi" w:cs="Arial"/>
                <w:b w:val="0"/>
                <w:sz w:val="20"/>
                <w:szCs w:val="20"/>
              </w:rPr>
              <w:t xml:space="preserve"> Quest Diagnostics </w:t>
            </w:r>
            <w:r w:rsidR="009E53DD">
              <w:rPr>
                <w:rFonts w:asciiTheme="minorHAnsi" w:eastAsiaTheme="minorHAnsi" w:hAnsiTheme="minorHAnsi" w:cs="Arial"/>
                <w:b w:val="0"/>
                <w:sz w:val="20"/>
                <w:szCs w:val="20"/>
              </w:rPr>
              <w:t xml:space="preserve">previously </w:t>
            </w:r>
            <w:r w:rsidR="001268E1" w:rsidRPr="00ED3991">
              <w:rPr>
                <w:rFonts w:asciiTheme="minorHAnsi" w:eastAsiaTheme="minorHAnsi" w:hAnsiTheme="minorHAnsi" w:cs="Arial"/>
                <w:b w:val="0"/>
                <w:sz w:val="20"/>
                <w:szCs w:val="20"/>
              </w:rPr>
              <w:t>submitted the following comment to CMS</w:t>
            </w:r>
            <w:r w:rsidR="009E53DD">
              <w:rPr>
                <w:rStyle w:val="FootnoteReference"/>
                <w:rFonts w:asciiTheme="minorHAnsi" w:eastAsiaTheme="minorHAnsi" w:hAnsiTheme="minorHAnsi" w:cs="Arial"/>
                <w:b w:val="0"/>
                <w:sz w:val="20"/>
                <w:szCs w:val="20"/>
              </w:rPr>
              <w:footnoteReference w:id="1"/>
            </w:r>
            <w:r w:rsidR="001268E1" w:rsidRPr="00ED3991">
              <w:rPr>
                <w:rFonts w:asciiTheme="minorHAnsi" w:eastAsiaTheme="minorHAnsi" w:hAnsiTheme="minorHAnsi" w:cs="Arial"/>
                <w:b w:val="0"/>
                <w:sz w:val="20"/>
                <w:szCs w:val="20"/>
              </w:rPr>
              <w:t xml:space="preserve">, </w:t>
            </w:r>
            <w:r w:rsidR="009E53DD">
              <w:rPr>
                <w:rFonts w:asciiTheme="minorHAnsi" w:eastAsiaTheme="minorHAnsi" w:hAnsiTheme="minorHAnsi" w:cs="Arial"/>
                <w:b w:val="0"/>
                <w:sz w:val="20"/>
                <w:szCs w:val="20"/>
              </w:rPr>
              <w:t>and encourage ONC to consider for their strategy</w:t>
            </w:r>
            <w:r w:rsidR="00A912E7">
              <w:rPr>
                <w:rFonts w:asciiTheme="minorHAnsi" w:eastAsiaTheme="minorHAnsi" w:hAnsiTheme="minorHAnsi" w:cs="Arial"/>
                <w:b w:val="0"/>
                <w:sz w:val="20"/>
                <w:szCs w:val="20"/>
              </w:rPr>
              <w:t>.</w:t>
            </w:r>
            <w:r w:rsidR="00E80547">
              <w:rPr>
                <w:rFonts w:asciiTheme="minorHAnsi" w:eastAsiaTheme="minorHAnsi" w:hAnsiTheme="minorHAnsi" w:cs="Arial"/>
                <w:b w:val="0"/>
                <w:sz w:val="20"/>
                <w:szCs w:val="20"/>
              </w:rPr>
              <w:t xml:space="preserve"> </w:t>
            </w:r>
          </w:p>
          <w:p w:rsidR="00CB4AC3" w:rsidRPr="003E6FD7" w:rsidRDefault="00CB4AC3" w:rsidP="00CB4AC3">
            <w:pPr>
              <w:pStyle w:val="Default"/>
              <w:rPr>
                <w:rFonts w:asciiTheme="minorHAnsi" w:eastAsiaTheme="minorHAnsi" w:hAnsiTheme="minorHAnsi" w:cs="Arial"/>
                <w:b w:val="0"/>
                <w:sz w:val="20"/>
                <w:szCs w:val="20"/>
              </w:rPr>
            </w:pPr>
          </w:p>
          <w:p w:rsidR="00CB4AC3" w:rsidRPr="003E6FD7" w:rsidRDefault="00CB4AC3" w:rsidP="00CB4AC3">
            <w:pPr>
              <w:pStyle w:val="Default"/>
              <w:rPr>
                <w:rFonts w:asciiTheme="minorHAnsi" w:hAnsiTheme="minorHAnsi" w:cstheme="minorBidi"/>
                <w:b w:val="0"/>
                <w:sz w:val="20"/>
                <w:szCs w:val="20"/>
              </w:rPr>
            </w:pPr>
            <w:r w:rsidRPr="003E6FD7">
              <w:rPr>
                <w:rFonts w:asciiTheme="minorHAnsi" w:hAnsiTheme="minorHAnsi"/>
                <w:b w:val="0"/>
                <w:sz w:val="20"/>
                <w:szCs w:val="20"/>
              </w:rPr>
              <w:t>In keeping with 21st Century Cures Act</w:t>
            </w:r>
            <w:r w:rsidRPr="003E6FD7">
              <w:rPr>
                <w:rStyle w:val="FootnoteReference"/>
                <w:rFonts w:asciiTheme="minorHAnsi" w:hAnsiTheme="minorHAnsi"/>
                <w:b w:val="0"/>
                <w:sz w:val="20"/>
                <w:szCs w:val="20"/>
              </w:rPr>
              <w:footnoteReference w:id="2"/>
            </w:r>
            <w:r w:rsidRPr="003E6FD7">
              <w:rPr>
                <w:rFonts w:asciiTheme="minorHAnsi" w:hAnsiTheme="minorHAnsi"/>
                <w:b w:val="0"/>
                <w:sz w:val="20"/>
                <w:szCs w:val="20"/>
              </w:rPr>
              <w:t xml:space="preserve"> principles to </w:t>
            </w:r>
            <w:r w:rsidRPr="003E6FD7">
              <w:rPr>
                <w:rFonts w:asciiTheme="minorHAnsi" w:hAnsiTheme="minorHAnsi" w:cstheme="minorBidi"/>
                <w:b w:val="0"/>
                <w:sz w:val="20"/>
                <w:szCs w:val="20"/>
              </w:rPr>
              <w:t>reduce regulatory or administrative burdens relating to the use of electronic health records,</w:t>
            </w:r>
            <w:r w:rsidRPr="003E6FD7">
              <w:rPr>
                <w:rStyle w:val="FootnoteReference"/>
                <w:rFonts w:asciiTheme="minorHAnsi" w:hAnsiTheme="minorHAnsi" w:cstheme="minorBidi"/>
                <w:b w:val="0"/>
                <w:sz w:val="20"/>
                <w:szCs w:val="20"/>
              </w:rPr>
              <w:footnoteReference w:id="3"/>
            </w:r>
            <w:r w:rsidRPr="003E6FD7">
              <w:rPr>
                <w:rFonts w:asciiTheme="minorHAnsi" w:hAnsiTheme="minorHAnsi" w:cstheme="minorBidi"/>
                <w:b w:val="0"/>
                <w:sz w:val="20"/>
                <w:szCs w:val="20"/>
              </w:rPr>
              <w:t xml:space="preserve"> and to promote Interoperability</w:t>
            </w:r>
            <w:r w:rsidRPr="003E6FD7">
              <w:rPr>
                <w:rStyle w:val="FootnoteReference"/>
                <w:rFonts w:asciiTheme="minorHAnsi" w:hAnsiTheme="minorHAnsi" w:cstheme="minorBidi"/>
                <w:b w:val="0"/>
                <w:sz w:val="20"/>
                <w:szCs w:val="20"/>
              </w:rPr>
              <w:footnoteReference w:id="4"/>
            </w:r>
            <w:r w:rsidRPr="003E6FD7">
              <w:rPr>
                <w:rFonts w:asciiTheme="minorHAnsi" w:hAnsiTheme="minorHAnsi" w:cstheme="minorBidi"/>
                <w:b w:val="0"/>
                <w:sz w:val="20"/>
                <w:szCs w:val="20"/>
              </w:rPr>
              <w:t xml:space="preserve"> we request </w:t>
            </w:r>
            <w:r w:rsidRPr="003E6FD7">
              <w:rPr>
                <w:rFonts w:asciiTheme="minorHAnsi" w:hAnsiTheme="minorHAnsi"/>
                <w:b w:val="0"/>
                <w:sz w:val="20"/>
                <w:szCs w:val="20"/>
              </w:rPr>
              <w:t xml:space="preserve">that CMS consider issuing </w:t>
            </w:r>
            <w:r w:rsidRPr="003E6FD7">
              <w:rPr>
                <w:rFonts w:asciiTheme="minorHAnsi" w:hAnsiTheme="minorHAnsi" w:cstheme="minorBidi"/>
                <w:b w:val="0"/>
                <w:sz w:val="20"/>
                <w:szCs w:val="20"/>
              </w:rPr>
              <w:t>an amendment to the Survey and Certification memorandum issued March 3, 2010.</w:t>
            </w:r>
            <w:r w:rsidRPr="003E6FD7">
              <w:rPr>
                <w:rFonts w:asciiTheme="minorHAnsi" w:hAnsiTheme="minorHAnsi"/>
                <w:b w:val="0"/>
                <w:sz w:val="20"/>
                <w:szCs w:val="20"/>
              </w:rPr>
              <w:t xml:space="preserve"> (</w:t>
            </w:r>
            <w:r w:rsidRPr="003E6FD7">
              <w:rPr>
                <w:rFonts w:asciiTheme="minorHAnsi" w:hAnsiTheme="minorHAnsi" w:cs="Times New Roman"/>
                <w:b w:val="0"/>
                <w:sz w:val="20"/>
                <w:szCs w:val="20"/>
              </w:rPr>
              <w:t xml:space="preserve">Ref: </w:t>
            </w:r>
            <w:hyperlink r:id="rId11" w:history="1">
              <w:r w:rsidRPr="003E6FD7">
                <w:rPr>
                  <w:rStyle w:val="Hyperlink"/>
                  <w:rFonts w:asciiTheme="minorHAnsi" w:hAnsiTheme="minorHAnsi" w:cs="Times New Roman"/>
                  <w:b w:val="0"/>
                  <w:bCs w:val="0"/>
                  <w:sz w:val="20"/>
                  <w:szCs w:val="20"/>
                </w:rPr>
                <w:t>S&amp;C-10-12-CLIA</w:t>
              </w:r>
            </w:hyperlink>
            <w:r w:rsidRPr="003E6FD7">
              <w:rPr>
                <w:rFonts w:asciiTheme="minorHAnsi" w:hAnsiTheme="minorHAnsi" w:cs="Times New Roman"/>
                <w:b w:val="0"/>
                <w:sz w:val="20"/>
                <w:szCs w:val="20"/>
              </w:rPr>
              <w:t>)</w:t>
            </w:r>
            <w:r w:rsidRPr="003E6FD7">
              <w:rPr>
                <w:rFonts w:asciiTheme="minorHAnsi" w:hAnsiTheme="minorHAnsi" w:cstheme="minorBidi"/>
                <w:b w:val="0"/>
                <w:sz w:val="20"/>
                <w:szCs w:val="20"/>
              </w:rPr>
              <w:t>.  The justification for this suggestion is explained below.</w:t>
            </w:r>
          </w:p>
          <w:p w:rsidR="00CB4AC3" w:rsidRPr="00ED3991" w:rsidRDefault="00CB4AC3" w:rsidP="00CB4AC3">
            <w:pPr>
              <w:rPr>
                <w:b w:val="0"/>
                <w:szCs w:val="20"/>
              </w:rPr>
            </w:pPr>
          </w:p>
          <w:p w:rsidR="00CB4AC3" w:rsidRPr="00ED3991" w:rsidRDefault="00CB4AC3" w:rsidP="00CB4AC3">
            <w:pPr>
              <w:rPr>
                <w:b w:val="0"/>
                <w:szCs w:val="20"/>
              </w:rPr>
            </w:pPr>
            <w:r w:rsidRPr="00ED3991">
              <w:rPr>
                <w:b w:val="0"/>
                <w:szCs w:val="20"/>
              </w:rPr>
              <w:t>In March, 2001 CMS issued CLIA updates to facilitate the electronic exchange of laboratory information.  The Office of National Coordinator (ONC) also issued a statement, reporting the agency’s achievements:</w:t>
            </w:r>
          </w:p>
          <w:p w:rsidR="00CB4AC3" w:rsidRPr="00ED3991" w:rsidRDefault="00CB4AC3" w:rsidP="00CB4AC3">
            <w:pPr>
              <w:numPr>
                <w:ilvl w:val="0"/>
                <w:numId w:val="15"/>
              </w:numPr>
              <w:rPr>
                <w:b w:val="0"/>
                <w:szCs w:val="20"/>
              </w:rPr>
            </w:pPr>
            <w:r w:rsidRPr="00ED3991">
              <w:rPr>
                <w:b w:val="0"/>
                <w:szCs w:val="20"/>
              </w:rPr>
              <w:t>2010-03-01 Center for Medicaid and State Operations/Survey and Certification Group issued a memorandum.  Subject:  Clinical Laboratory Improvement Amendments of 1988 (CLIA) – Issuance of Revised Survey Procedures and Interpretive Guidelines for Laboratories and Laboratory Services in Appendix C of the State Operations Manual to Facilitate the Electronic Exchange of Laboratory Information.</w:t>
            </w:r>
          </w:p>
          <w:p w:rsidR="00CB4AC3" w:rsidRPr="00ED3991" w:rsidRDefault="00CB4AC3" w:rsidP="00CB4AC3">
            <w:pPr>
              <w:numPr>
                <w:ilvl w:val="0"/>
                <w:numId w:val="15"/>
              </w:numPr>
              <w:rPr>
                <w:b w:val="0"/>
                <w:szCs w:val="20"/>
              </w:rPr>
            </w:pPr>
            <w:r w:rsidRPr="00ED3991">
              <w:rPr>
                <w:b w:val="0"/>
                <w:szCs w:val="20"/>
              </w:rPr>
              <w:t>2010-03-03 - ONC blog post:  Electronic Health Records (EHRs)s Now Permitted By CLIA</w:t>
            </w:r>
            <w:r w:rsidRPr="00ED3991">
              <w:rPr>
                <w:rStyle w:val="FootnoteReference"/>
                <w:b w:val="0"/>
                <w:szCs w:val="20"/>
              </w:rPr>
              <w:footnoteReference w:id="5"/>
            </w:r>
            <w:r w:rsidRPr="00ED3991">
              <w:rPr>
                <w:b w:val="0"/>
                <w:szCs w:val="20"/>
              </w:rPr>
              <w:t>.  This blog post reported that CMS, in collaboration with ONC, released guidance clarifying that the Clinical Laboratory Improvement Amendments (CLIA) permit labs to electronically exchange lab data and addressing some confusion regarding laboratory data and health IT.</w:t>
            </w:r>
          </w:p>
          <w:p w:rsidR="00CB4AC3" w:rsidRPr="003E6FD7" w:rsidRDefault="00CB4AC3" w:rsidP="00CB4AC3">
            <w:pPr>
              <w:pStyle w:val="Default"/>
              <w:rPr>
                <w:rFonts w:asciiTheme="minorHAnsi" w:hAnsiTheme="minorHAnsi"/>
                <w:b w:val="0"/>
                <w:sz w:val="20"/>
                <w:szCs w:val="20"/>
              </w:rPr>
            </w:pPr>
          </w:p>
          <w:p w:rsidR="00CB4AC3" w:rsidRPr="003E6FD7" w:rsidRDefault="00CB4AC3" w:rsidP="00CB4AC3">
            <w:pPr>
              <w:pStyle w:val="Default"/>
              <w:rPr>
                <w:rFonts w:asciiTheme="minorHAnsi" w:hAnsiTheme="minorHAnsi"/>
                <w:b w:val="0"/>
                <w:sz w:val="20"/>
                <w:szCs w:val="20"/>
              </w:rPr>
            </w:pPr>
            <w:r w:rsidRPr="003E6FD7">
              <w:rPr>
                <w:rFonts w:asciiTheme="minorHAnsi" w:hAnsiTheme="minorHAnsi"/>
                <w:b w:val="0"/>
                <w:sz w:val="20"/>
                <w:szCs w:val="20"/>
              </w:rPr>
              <w:t>This 2010 CLIA guidance referenced HL7 V2.5.1 and LOINC for laboratory results and “encouraged” laboratories to use these standards:</w:t>
            </w:r>
          </w:p>
          <w:p w:rsidR="00CB4AC3" w:rsidRPr="00ED3991" w:rsidRDefault="00CB4AC3" w:rsidP="00CB4AC3">
            <w:pPr>
              <w:ind w:left="720"/>
              <w:rPr>
                <w:b w:val="0"/>
                <w:szCs w:val="20"/>
              </w:rPr>
            </w:pPr>
            <w:r w:rsidRPr="00ED3991">
              <w:rPr>
                <w:b w:val="0"/>
                <w:szCs w:val="20"/>
              </w:rPr>
              <w:t xml:space="preserve">“Many laboratories are interested in ascertaining which transmission and vocabulary standards will work best for their electronic transmission of laboratory data. Health Level Seven 2.5.1 and LOINC are two standards recognized by the Department as transmission and vocabulary standards for the electronic exchange of laboratory data. These standards support the Department’s Initial Set of Standards, Implementation Specifications and proposed certification criteria for electronic health record technology, and </w:t>
            </w:r>
            <w:r w:rsidRPr="00523D60">
              <w:rPr>
                <w:b w:val="0"/>
                <w:szCs w:val="20"/>
              </w:rPr>
              <w:t>therefore CMS encourages laboratories to use these standards.”</w:t>
            </w:r>
            <w:r w:rsidRPr="00523D60">
              <w:rPr>
                <w:rStyle w:val="FootnoteReference"/>
                <w:b w:val="0"/>
                <w:szCs w:val="20"/>
              </w:rPr>
              <w:footnoteReference w:id="6"/>
            </w:r>
          </w:p>
          <w:p w:rsidR="00CB4AC3" w:rsidRPr="003E6FD7" w:rsidRDefault="00CB4AC3" w:rsidP="00CB4AC3">
            <w:pPr>
              <w:pStyle w:val="Default"/>
              <w:rPr>
                <w:rFonts w:asciiTheme="minorHAnsi" w:hAnsiTheme="minorHAnsi"/>
                <w:b w:val="0"/>
                <w:sz w:val="20"/>
                <w:szCs w:val="20"/>
              </w:rPr>
            </w:pPr>
          </w:p>
          <w:p w:rsidR="00CB4AC3" w:rsidRPr="003E6FD7" w:rsidRDefault="00CB4AC3" w:rsidP="00CB4AC3">
            <w:pPr>
              <w:pStyle w:val="Default"/>
              <w:rPr>
                <w:rFonts w:asciiTheme="minorHAnsi" w:hAnsiTheme="minorHAnsi"/>
                <w:b w:val="0"/>
                <w:sz w:val="20"/>
                <w:szCs w:val="20"/>
              </w:rPr>
            </w:pPr>
            <w:r w:rsidRPr="003E6FD7">
              <w:rPr>
                <w:rFonts w:asciiTheme="minorHAnsi" w:hAnsiTheme="minorHAnsi"/>
                <w:b w:val="0"/>
                <w:sz w:val="20"/>
                <w:szCs w:val="20"/>
              </w:rPr>
              <w:t>Beginning in 2011, ONC sponsored several projects through the ONC Standards &amp; Interoperability Framework Lab US Realm initiatives</w:t>
            </w:r>
            <w:r w:rsidRPr="003E6FD7">
              <w:rPr>
                <w:rStyle w:val="FootnoteReference"/>
                <w:rFonts w:asciiTheme="minorHAnsi" w:hAnsiTheme="minorHAnsi"/>
                <w:b w:val="0"/>
                <w:sz w:val="20"/>
                <w:szCs w:val="20"/>
              </w:rPr>
              <w:footnoteReference w:id="7"/>
            </w:r>
            <w:r w:rsidRPr="003E6FD7">
              <w:rPr>
                <w:rFonts w:asciiTheme="minorHAnsi" w:hAnsiTheme="minorHAnsi"/>
                <w:b w:val="0"/>
                <w:sz w:val="20"/>
                <w:szCs w:val="20"/>
              </w:rPr>
              <w:t xml:space="preserve"> to define a suite of new Implementation Guides to further constrain the HL7 V2.5.1 standard, specifically for the implementation of interfaces supporting the electronic exchange of messages designed to support the laboratory/provider work flow; these include electronic exchange laboratory results, laboratory orders, and the laboratory’s test compendium, or electronic directory of service (eDOS).  </w:t>
            </w:r>
          </w:p>
          <w:p w:rsidR="00CB4AC3" w:rsidRPr="003E6FD7" w:rsidRDefault="00CB4AC3" w:rsidP="00CB4AC3">
            <w:pPr>
              <w:pStyle w:val="Default"/>
              <w:rPr>
                <w:rFonts w:asciiTheme="minorHAnsi" w:hAnsiTheme="minorHAnsi"/>
                <w:b w:val="0"/>
                <w:sz w:val="20"/>
                <w:szCs w:val="20"/>
              </w:rPr>
            </w:pPr>
          </w:p>
          <w:p w:rsidR="00CB4AC3" w:rsidRPr="003E6FD7" w:rsidRDefault="00CB4AC3" w:rsidP="00CB4AC3">
            <w:pPr>
              <w:pStyle w:val="Default"/>
              <w:rPr>
                <w:rFonts w:asciiTheme="minorHAnsi" w:hAnsiTheme="minorHAnsi"/>
                <w:b w:val="0"/>
                <w:sz w:val="20"/>
                <w:szCs w:val="20"/>
              </w:rPr>
            </w:pPr>
            <w:r w:rsidRPr="003E6FD7">
              <w:rPr>
                <w:rFonts w:asciiTheme="minorHAnsi" w:hAnsiTheme="minorHAnsi"/>
                <w:b w:val="0"/>
                <w:sz w:val="20"/>
                <w:szCs w:val="20"/>
              </w:rPr>
              <w:t>The level of specificity defined in these V2.5.1 Implementation Guides removes the ambiguity inherent in the V2.5.1 standard</w:t>
            </w:r>
            <w:r w:rsidRPr="003E6FD7">
              <w:rPr>
                <w:rStyle w:val="FootnoteReference"/>
                <w:rFonts w:asciiTheme="minorHAnsi" w:hAnsiTheme="minorHAnsi"/>
                <w:b w:val="0"/>
                <w:sz w:val="20"/>
                <w:szCs w:val="20"/>
              </w:rPr>
              <w:footnoteReference w:id="8"/>
            </w:r>
            <w:r w:rsidRPr="003E6FD7">
              <w:rPr>
                <w:rFonts w:asciiTheme="minorHAnsi" w:hAnsiTheme="minorHAnsi"/>
                <w:b w:val="0"/>
                <w:sz w:val="20"/>
                <w:szCs w:val="20"/>
              </w:rPr>
              <w:t>, enables the National Institute of Standards and Technology (NIST) developed testing tools</w:t>
            </w:r>
            <w:r w:rsidRPr="003E6FD7">
              <w:rPr>
                <w:rStyle w:val="FootnoteReference"/>
                <w:rFonts w:asciiTheme="minorHAnsi" w:hAnsiTheme="minorHAnsi"/>
                <w:b w:val="0"/>
                <w:sz w:val="20"/>
                <w:szCs w:val="20"/>
              </w:rPr>
              <w:footnoteReference w:id="9"/>
            </w:r>
            <w:r w:rsidRPr="003E6FD7">
              <w:rPr>
                <w:rFonts w:asciiTheme="minorHAnsi" w:hAnsiTheme="minorHAnsi"/>
                <w:b w:val="0"/>
                <w:sz w:val="20"/>
                <w:szCs w:val="20"/>
              </w:rPr>
              <w:t xml:space="preserve"> to certify an EHR’s ability to correctly construct laboratory result electronic messages for Meaningful Use EHR certification, and addresses how the laboratory result implementation guide supports CLIA §493.1291 Standard: Test report requirements.</w:t>
            </w:r>
          </w:p>
          <w:p w:rsidR="00CB4AC3" w:rsidRPr="003E6FD7" w:rsidRDefault="00CB4AC3" w:rsidP="00CB4AC3">
            <w:pPr>
              <w:pStyle w:val="Default"/>
              <w:rPr>
                <w:rFonts w:asciiTheme="minorHAnsi" w:hAnsiTheme="minorHAnsi"/>
                <w:b w:val="0"/>
                <w:sz w:val="20"/>
                <w:szCs w:val="20"/>
              </w:rPr>
            </w:pPr>
          </w:p>
          <w:p w:rsidR="00CB4AC3" w:rsidRPr="003E6FD7" w:rsidRDefault="00CB4AC3" w:rsidP="00CB4AC3">
            <w:pPr>
              <w:pStyle w:val="Default"/>
              <w:rPr>
                <w:rFonts w:asciiTheme="minorHAnsi" w:hAnsiTheme="minorHAnsi"/>
                <w:b w:val="0"/>
                <w:sz w:val="20"/>
                <w:szCs w:val="20"/>
              </w:rPr>
            </w:pPr>
            <w:r w:rsidRPr="003E6FD7">
              <w:rPr>
                <w:rFonts w:asciiTheme="minorHAnsi" w:hAnsiTheme="minorHAnsi"/>
                <w:b w:val="0"/>
                <w:sz w:val="20"/>
                <w:szCs w:val="20"/>
              </w:rPr>
              <w:t>The V2.5.1 implementation guide for lab results</w:t>
            </w:r>
            <w:r w:rsidRPr="003E6FD7">
              <w:rPr>
                <w:rStyle w:val="FootnoteReference"/>
                <w:rFonts w:asciiTheme="minorHAnsi" w:hAnsiTheme="minorHAnsi"/>
                <w:b w:val="0"/>
                <w:sz w:val="20"/>
                <w:szCs w:val="20"/>
              </w:rPr>
              <w:footnoteReference w:id="10"/>
            </w:r>
            <w:r w:rsidRPr="003E6FD7">
              <w:rPr>
                <w:rFonts w:asciiTheme="minorHAnsi" w:hAnsiTheme="minorHAnsi"/>
                <w:b w:val="0"/>
                <w:sz w:val="20"/>
                <w:szCs w:val="20"/>
              </w:rPr>
              <w:t xml:space="preserve"> was formally cited as a certification requirement in 2012.  However, due to ‘loophole’ language in the final rule, some vendors certified they supported the interface, but never implemented. One reason cited was the hesitation to disrupt existing CLIA certified interfaces to install a new interface that would have to be CLIA certified again.  The opportunity to realize reduced interface costs, through</w:t>
            </w:r>
            <w:r w:rsidRPr="003E6FD7">
              <w:rPr>
                <w:rFonts w:asciiTheme="minorHAnsi" w:hAnsiTheme="minorHAnsi"/>
                <w:sz w:val="20"/>
                <w:szCs w:val="20"/>
              </w:rPr>
              <w:t xml:space="preserve"> </w:t>
            </w:r>
            <w:r w:rsidRPr="003E6FD7">
              <w:rPr>
                <w:rFonts w:asciiTheme="minorHAnsi" w:hAnsiTheme="minorHAnsi"/>
                <w:b w:val="0"/>
                <w:sz w:val="20"/>
                <w:szCs w:val="20"/>
              </w:rPr>
              <w:t>implementation of a national standard, was lost.</w:t>
            </w:r>
          </w:p>
          <w:p w:rsidR="00CB4AC3" w:rsidRPr="003E6FD7" w:rsidRDefault="00CB4AC3" w:rsidP="00CB4AC3">
            <w:pPr>
              <w:pStyle w:val="Default"/>
              <w:rPr>
                <w:rFonts w:asciiTheme="minorHAnsi" w:hAnsiTheme="minorHAnsi"/>
                <w:b w:val="0"/>
                <w:sz w:val="20"/>
                <w:szCs w:val="20"/>
              </w:rPr>
            </w:pPr>
          </w:p>
          <w:p w:rsidR="00CB4AC3" w:rsidRPr="003E6FD7" w:rsidRDefault="00CB4AC3" w:rsidP="00CB4AC3">
            <w:pPr>
              <w:pStyle w:val="Default"/>
              <w:rPr>
                <w:rFonts w:asciiTheme="minorHAnsi" w:hAnsiTheme="minorHAnsi"/>
                <w:b w:val="0"/>
                <w:sz w:val="20"/>
                <w:szCs w:val="20"/>
              </w:rPr>
            </w:pPr>
            <w:r w:rsidRPr="003E6FD7">
              <w:rPr>
                <w:rFonts w:asciiTheme="minorHAnsi" w:hAnsiTheme="minorHAnsi"/>
                <w:b w:val="0"/>
                <w:sz w:val="20"/>
                <w:szCs w:val="20"/>
              </w:rPr>
              <w:t xml:space="preserve">Therefore, we request that CMS consider issuing </w:t>
            </w:r>
            <w:r w:rsidRPr="003E6FD7">
              <w:rPr>
                <w:rFonts w:asciiTheme="minorHAnsi" w:hAnsiTheme="minorHAnsi" w:cstheme="minorBidi"/>
                <w:b w:val="0"/>
                <w:sz w:val="20"/>
                <w:szCs w:val="20"/>
              </w:rPr>
              <w:t>an amendment to the Survey and Certification memorandum issued March 3, 2010 to state that ONC Certified interfaces supporting the V2.5.1 laboratory result interface (LRI) implementation guide</w:t>
            </w:r>
            <w:r w:rsidRPr="003E6FD7">
              <w:rPr>
                <w:rStyle w:val="FootnoteReference"/>
                <w:rFonts w:asciiTheme="minorHAnsi" w:hAnsiTheme="minorHAnsi" w:cstheme="minorBidi"/>
                <w:b w:val="0"/>
                <w:sz w:val="20"/>
                <w:szCs w:val="20"/>
              </w:rPr>
              <w:footnoteReference w:id="11"/>
            </w:r>
            <w:r w:rsidRPr="003E6FD7">
              <w:rPr>
                <w:rFonts w:asciiTheme="minorHAnsi" w:hAnsiTheme="minorHAnsi" w:cstheme="minorBidi"/>
                <w:b w:val="0"/>
                <w:sz w:val="20"/>
                <w:szCs w:val="20"/>
              </w:rPr>
              <w:t xml:space="preserve"> are considered to meet the CLIA regulations for an </w:t>
            </w:r>
            <w:r w:rsidRPr="00523D60">
              <w:rPr>
                <w:rFonts w:asciiTheme="minorHAnsi" w:hAnsiTheme="minorHAnsi" w:cs="Times New Roman"/>
                <w:b w:val="0"/>
                <w:sz w:val="20"/>
                <w:szCs w:val="20"/>
              </w:rPr>
              <w:t>adequate electronic system for sending laboratory test results to the final report destination as specified in 42 CFR §493.1291</w:t>
            </w:r>
            <w:r w:rsidRPr="00523D60">
              <w:rPr>
                <w:rStyle w:val="FootnoteReference"/>
                <w:rFonts w:asciiTheme="minorHAnsi" w:hAnsiTheme="minorHAnsi" w:cs="Times New Roman"/>
                <w:b w:val="0"/>
                <w:sz w:val="20"/>
                <w:szCs w:val="20"/>
              </w:rPr>
              <w:footnoteReference w:id="12"/>
            </w:r>
            <w:r w:rsidRPr="00523D60">
              <w:rPr>
                <w:rFonts w:asciiTheme="minorHAnsi" w:hAnsiTheme="minorHAnsi" w:cs="Times New Roman"/>
                <w:b w:val="0"/>
                <w:sz w:val="20"/>
                <w:szCs w:val="20"/>
              </w:rPr>
              <w:t>.</w:t>
            </w:r>
          </w:p>
          <w:p w:rsidR="00CB4AC3" w:rsidRPr="003E6FD7" w:rsidRDefault="00CB4AC3" w:rsidP="00CB4AC3">
            <w:pPr>
              <w:pStyle w:val="Default"/>
              <w:rPr>
                <w:rFonts w:asciiTheme="minorHAnsi" w:hAnsiTheme="minorHAnsi"/>
                <w:b w:val="0"/>
                <w:sz w:val="20"/>
                <w:szCs w:val="20"/>
              </w:rPr>
            </w:pPr>
          </w:p>
          <w:p w:rsidR="00CB4AC3" w:rsidRPr="003E6FD7" w:rsidRDefault="00CB4AC3" w:rsidP="00CB4AC3">
            <w:pPr>
              <w:pStyle w:val="Default"/>
              <w:rPr>
                <w:rFonts w:asciiTheme="minorHAnsi" w:hAnsiTheme="minorHAnsi"/>
                <w:b w:val="0"/>
                <w:sz w:val="20"/>
                <w:szCs w:val="20"/>
              </w:rPr>
            </w:pPr>
            <w:r w:rsidRPr="003E6FD7">
              <w:rPr>
                <w:rFonts w:asciiTheme="minorHAnsi" w:hAnsiTheme="minorHAnsi"/>
                <w:b w:val="0"/>
                <w:sz w:val="20"/>
                <w:szCs w:val="20"/>
              </w:rPr>
              <w:t>We believe there is precedence for this action in the November 8, 2013 Survey and Certification letter, which named the Direct standard (secure email exchange of laboratory results) as meeting CLIA regulations.</w:t>
            </w:r>
          </w:p>
          <w:p w:rsidR="00CB4AC3" w:rsidRPr="00ED3991" w:rsidRDefault="00CB4AC3" w:rsidP="00CB4AC3">
            <w:pPr>
              <w:numPr>
                <w:ilvl w:val="0"/>
                <w:numId w:val="15"/>
              </w:numPr>
              <w:rPr>
                <w:rFonts w:cs="Times New Roman"/>
                <w:b w:val="0"/>
                <w:szCs w:val="20"/>
              </w:rPr>
            </w:pPr>
            <w:r w:rsidRPr="00ED3991">
              <w:rPr>
                <w:b w:val="0"/>
                <w:szCs w:val="20"/>
              </w:rPr>
              <w:t xml:space="preserve">2013-11-08 Center for Medicaid and State Operations/Survey and Certification Group issued a memorandum.  Subject: </w:t>
            </w:r>
            <w:r w:rsidRPr="00ED3991">
              <w:rPr>
                <w:rFonts w:cs="Times New Roman"/>
                <w:b w:val="0"/>
                <w:szCs w:val="20"/>
              </w:rPr>
              <w:t xml:space="preserve"> Use of Direct for the Secure Transmission of Laboratory Test Results provides the following CLIA guidance:  The Centers for Medicare &amp; Medicaid Services (CMS) considers that laboratories utilizing the Direct transport protocols and fully supporting the Direct Implementation Guide for Delivery Notification requirements would </w:t>
            </w:r>
            <w:r w:rsidRPr="00ED3991">
              <w:rPr>
                <w:rFonts w:cs="Times New Roman"/>
                <w:b w:val="0"/>
                <w:szCs w:val="20"/>
                <w:highlight w:val="yellow"/>
              </w:rPr>
              <w:t>meet the CLIA regulations for an adequate electronic system for sending laboratory test results to the final report destination as specified in 42 CFR §493.1291(a)</w:t>
            </w:r>
            <w:r w:rsidRPr="00ED3991">
              <w:rPr>
                <w:rFonts w:cs="Times New Roman"/>
                <w:b w:val="0"/>
                <w:szCs w:val="20"/>
              </w:rPr>
              <w:t xml:space="preserve">.  (Ref: </w:t>
            </w:r>
            <w:hyperlink r:id="rId12" w:history="1">
              <w:r w:rsidRPr="00ED3991">
                <w:rPr>
                  <w:rStyle w:val="Hyperlink"/>
                  <w:rFonts w:cs="Times New Roman"/>
                  <w:b w:val="0"/>
                  <w:bCs w:val="0"/>
                  <w:szCs w:val="20"/>
                </w:rPr>
                <w:t>S&amp;C: 14-05-CLIA</w:t>
              </w:r>
            </w:hyperlink>
            <w:r w:rsidRPr="00ED3991">
              <w:rPr>
                <w:rFonts w:cs="Times New Roman"/>
                <w:b w:val="0"/>
                <w:szCs w:val="20"/>
              </w:rPr>
              <w:t>)</w:t>
            </w:r>
          </w:p>
          <w:p w:rsidR="00CB4AC3" w:rsidRPr="00ED3991" w:rsidRDefault="00CB4AC3" w:rsidP="00CB4AC3">
            <w:pPr>
              <w:rPr>
                <w:rFonts w:cs="Times New Roman"/>
                <w:b w:val="0"/>
                <w:szCs w:val="20"/>
              </w:rPr>
            </w:pPr>
          </w:p>
          <w:p w:rsidR="00CB4AC3" w:rsidRPr="00ED3991" w:rsidRDefault="00CB4AC3" w:rsidP="00CB4AC3">
            <w:pPr>
              <w:rPr>
                <w:rFonts w:cs="Times New Roman"/>
                <w:b w:val="0"/>
                <w:szCs w:val="20"/>
              </w:rPr>
            </w:pPr>
            <w:r w:rsidRPr="00ED3991">
              <w:rPr>
                <w:rFonts w:cs="Times New Roman"/>
                <w:b w:val="0"/>
                <w:szCs w:val="20"/>
              </w:rPr>
              <w:t>This action is anticipated to have the following impacts:</w:t>
            </w:r>
          </w:p>
          <w:p w:rsidR="00CB4AC3" w:rsidRPr="00ED3991" w:rsidRDefault="00CB4AC3" w:rsidP="00CB4AC3">
            <w:pPr>
              <w:numPr>
                <w:ilvl w:val="0"/>
                <w:numId w:val="15"/>
              </w:numPr>
              <w:rPr>
                <w:rFonts w:cs="Times New Roman"/>
                <w:b w:val="0"/>
                <w:szCs w:val="20"/>
              </w:rPr>
            </w:pPr>
            <w:r w:rsidRPr="00ED3991">
              <w:rPr>
                <w:rFonts w:cs="Times New Roman"/>
                <w:b w:val="0"/>
                <w:szCs w:val="20"/>
              </w:rPr>
              <w:t>Remove barriers to LRI adoption by eliminating ‘additional’ CLIA certification requirement.</w:t>
            </w:r>
          </w:p>
          <w:p w:rsidR="00CB4AC3" w:rsidRPr="00ED3991" w:rsidRDefault="00CB4AC3" w:rsidP="00CB4AC3">
            <w:pPr>
              <w:numPr>
                <w:ilvl w:val="0"/>
                <w:numId w:val="15"/>
              </w:numPr>
              <w:rPr>
                <w:rFonts w:cs="Times New Roman"/>
                <w:b w:val="0"/>
                <w:szCs w:val="20"/>
              </w:rPr>
            </w:pPr>
            <w:r w:rsidRPr="00ED3991">
              <w:rPr>
                <w:rFonts w:cs="Times New Roman"/>
                <w:b w:val="0"/>
                <w:szCs w:val="20"/>
              </w:rPr>
              <w:t>Lower interface costs by encouraging implementation of a national standard meeting CLIA requirements “out of the box”.</w:t>
            </w:r>
          </w:p>
          <w:p w:rsidR="00CB4AC3" w:rsidRPr="00ED3991" w:rsidRDefault="00CB4AC3" w:rsidP="00CB4AC3">
            <w:pPr>
              <w:numPr>
                <w:ilvl w:val="0"/>
                <w:numId w:val="15"/>
              </w:numPr>
              <w:rPr>
                <w:rFonts w:cs="Times New Roman"/>
                <w:b w:val="0"/>
                <w:szCs w:val="20"/>
              </w:rPr>
            </w:pPr>
            <w:r w:rsidRPr="00ED3991">
              <w:rPr>
                <w:rFonts w:cs="Times New Roman"/>
                <w:b w:val="0"/>
                <w:szCs w:val="20"/>
              </w:rPr>
              <w:t>Reduce burdens relating to the use of electronic health records (21st Century Cures).</w:t>
            </w:r>
          </w:p>
          <w:p w:rsidR="00CB4AC3" w:rsidRPr="003E6FD7" w:rsidRDefault="00CB4AC3" w:rsidP="00CB4AC3">
            <w:pPr>
              <w:pStyle w:val="Default"/>
              <w:rPr>
                <w:rFonts w:asciiTheme="minorHAnsi" w:hAnsiTheme="minorHAnsi"/>
                <w:b w:val="0"/>
                <w:sz w:val="20"/>
                <w:szCs w:val="20"/>
              </w:rPr>
            </w:pPr>
            <w:r w:rsidRPr="003E6FD7">
              <w:rPr>
                <w:rFonts w:asciiTheme="minorHAnsi" w:hAnsiTheme="minorHAnsi" w:cs="Times New Roman"/>
                <w:b w:val="0"/>
                <w:sz w:val="20"/>
                <w:szCs w:val="20"/>
              </w:rPr>
              <w:t>This could include elimination of CLIA’s “periodically verified” requirement unless the software is upgraded to a later release.</w:t>
            </w:r>
          </w:p>
        </w:tc>
      </w:tr>
    </w:tbl>
    <w:p w:rsidR="003151C8" w:rsidRDefault="003151C8" w:rsidP="009033AE">
      <w:pPr>
        <w:rPr>
          <w:szCs w:val="20"/>
        </w:rPr>
      </w:pPr>
    </w:p>
    <w:tbl>
      <w:tblPr>
        <w:tblStyle w:val="MediumShading1-Accent1112"/>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381705" w:rsidRPr="00ED3991" w:rsidTr="00132535">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381705" w:rsidRPr="00ED3991" w:rsidRDefault="00381705" w:rsidP="00132535">
            <w:pPr>
              <w:spacing w:line="276" w:lineRule="auto"/>
              <w:rPr>
                <w:b w:val="0"/>
                <w:bCs w:val="0"/>
                <w:szCs w:val="20"/>
              </w:rPr>
            </w:pPr>
            <w:r w:rsidRPr="00ED3991">
              <w:rPr>
                <w:b w:val="0"/>
                <w:bCs w:val="0"/>
                <w:szCs w:val="20"/>
              </w:rPr>
              <w:t>Page #</w:t>
            </w:r>
            <w:r w:rsidR="009238AB">
              <w:rPr>
                <w:b w:val="0"/>
                <w:bCs w:val="0"/>
                <w:szCs w:val="20"/>
              </w:rPr>
              <w:t>32</w:t>
            </w:r>
          </w:p>
        </w:tc>
      </w:tr>
      <w:tr w:rsidR="00381705" w:rsidRPr="00ED3991" w:rsidTr="00132535">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381705" w:rsidRPr="00ED3991" w:rsidRDefault="00381705" w:rsidP="00132535">
            <w:pPr>
              <w:autoSpaceDE w:val="0"/>
              <w:autoSpaceDN w:val="0"/>
              <w:adjustRightInd w:val="0"/>
              <w:rPr>
                <w:rFonts w:eastAsiaTheme="minorHAnsi" w:cs="Calibri"/>
                <w:color w:val="000000"/>
                <w:szCs w:val="20"/>
              </w:rPr>
            </w:pPr>
            <w:r w:rsidRPr="00ED3991">
              <w:rPr>
                <w:rFonts w:eastAsiaTheme="minorHAnsi" w:cs="Calibri"/>
                <w:color w:val="000000"/>
                <w:szCs w:val="20"/>
              </w:rPr>
              <w:t>Text:</w:t>
            </w:r>
          </w:p>
          <w:p w:rsidR="00381705" w:rsidRPr="009238AB" w:rsidRDefault="009238AB" w:rsidP="009238AB">
            <w:pPr>
              <w:rPr>
                <w:rFonts w:eastAsiaTheme="minorHAnsi" w:cs="Calibri"/>
                <w:b w:val="0"/>
                <w:color w:val="000000"/>
                <w:szCs w:val="20"/>
              </w:rPr>
            </w:pPr>
            <w:r w:rsidRPr="009238AB">
              <w:rPr>
                <w:b w:val="0"/>
              </w:rPr>
              <w:t>Clinical documentation tasks in EHRs present another major challenge to clinician workflow.</w:t>
            </w:r>
            <w:r w:rsidR="00B20596">
              <w:rPr>
                <w:rStyle w:val="FootnoteReference"/>
                <w:b w:val="0"/>
              </w:rPr>
              <w:footnoteReference w:id="13"/>
            </w:r>
            <w:r w:rsidRPr="009238AB">
              <w:rPr>
                <w:b w:val="0"/>
                <w:sz w:val="14"/>
                <w:szCs w:val="14"/>
              </w:rPr>
              <w:t xml:space="preserve">47 </w:t>
            </w:r>
            <w:r w:rsidRPr="009238AB">
              <w:rPr>
                <w:b w:val="0"/>
              </w:rPr>
              <w:t xml:space="preserve">EHRs are the primary vehicles for clinicians to document what has happened during the course of care. Clinical documentation has traditionally taken the form of a written narrative that includes history, findings, assessment, and a plan of care. EHRs have added features to aid clinician documentation: document templates; “smart” features, such as click buttons that help dynamically generate text; and the </w:t>
            </w:r>
            <w:r w:rsidRPr="00523D60">
              <w:rPr>
                <w:b w:val="0"/>
              </w:rPr>
              <w:t>incorporation of medications, laboratory results, vital signs, and other clinical information found elsewhere in EHRs. Unfortunately</w:t>
            </w:r>
            <w:r w:rsidRPr="009238AB">
              <w:rPr>
                <w:b w:val="0"/>
              </w:rPr>
              <w:t>, these features can create documents that read more like completed check lists than comprehensive histories, making it difficult for health care providers to locate the information they need. Similarly, use of copy-and-paste functionality as part of the documentation process can make it easy for physicians to fail to update or correct copied information and continue to propagate outdated or false information.</w:t>
            </w:r>
            <w:r>
              <w:rPr>
                <w:rStyle w:val="FootnoteReference"/>
                <w:b w:val="0"/>
              </w:rPr>
              <w:footnoteReference w:id="14"/>
            </w:r>
            <w:r w:rsidRPr="009238AB">
              <w:rPr>
                <w:b w:val="0"/>
                <w:sz w:val="14"/>
                <w:szCs w:val="14"/>
              </w:rPr>
              <w:t>48</w:t>
            </w:r>
          </w:p>
        </w:tc>
      </w:tr>
      <w:tr w:rsidR="00381705" w:rsidRPr="00517D5D" w:rsidTr="00132535">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381705" w:rsidRPr="00ED3991" w:rsidRDefault="00381705" w:rsidP="00132535">
            <w:pPr>
              <w:spacing w:before="40" w:after="60" w:line="276" w:lineRule="auto"/>
              <w:rPr>
                <w:szCs w:val="20"/>
              </w:rPr>
            </w:pPr>
            <w:r w:rsidRPr="00ED3991">
              <w:rPr>
                <w:bCs w:val="0"/>
                <w:szCs w:val="20"/>
              </w:rPr>
              <w:t>Comment:</w:t>
            </w:r>
          </w:p>
          <w:p w:rsidR="00381705" w:rsidRPr="00517D5D" w:rsidRDefault="008D3083" w:rsidP="008601E7">
            <w:pPr>
              <w:spacing w:before="40" w:after="60" w:line="276" w:lineRule="auto"/>
              <w:rPr>
                <w:b w:val="0"/>
                <w:szCs w:val="20"/>
              </w:rPr>
            </w:pPr>
            <w:r>
              <w:rPr>
                <w:b w:val="0"/>
                <w:szCs w:val="20"/>
              </w:rPr>
              <w:t>Since laboratory results can be amended, appended, or corrected, we also have concerns that copy/paste functions might be displaying outdated laboratory results.</w:t>
            </w:r>
          </w:p>
        </w:tc>
      </w:tr>
    </w:tbl>
    <w:p w:rsidR="00203E82" w:rsidRDefault="00203E82" w:rsidP="009033AE">
      <w:pPr>
        <w:rPr>
          <w:szCs w:val="20"/>
        </w:rPr>
      </w:pPr>
    </w:p>
    <w:p w:rsidR="00203E82" w:rsidRDefault="00203E82">
      <w:pPr>
        <w:rPr>
          <w:szCs w:val="20"/>
        </w:rPr>
      </w:pPr>
      <w:r>
        <w:rPr>
          <w:szCs w:val="20"/>
        </w:rPr>
        <w:br w:type="page"/>
      </w:r>
    </w:p>
    <w:p w:rsidR="00381705" w:rsidRDefault="00381705" w:rsidP="009033AE">
      <w:pPr>
        <w:rPr>
          <w:szCs w:val="20"/>
        </w:rPr>
      </w:pPr>
    </w:p>
    <w:tbl>
      <w:tblPr>
        <w:tblStyle w:val="MediumShading1-Accent1112"/>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C73A76" w:rsidRPr="00ED3991" w:rsidTr="00132535">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C73A76" w:rsidRPr="00ED3991" w:rsidRDefault="00C73A76" w:rsidP="00132535">
            <w:pPr>
              <w:spacing w:line="276" w:lineRule="auto"/>
              <w:rPr>
                <w:b w:val="0"/>
                <w:bCs w:val="0"/>
                <w:szCs w:val="20"/>
              </w:rPr>
            </w:pPr>
            <w:r w:rsidRPr="00ED3991">
              <w:rPr>
                <w:b w:val="0"/>
                <w:bCs w:val="0"/>
                <w:szCs w:val="20"/>
              </w:rPr>
              <w:t>Page #</w:t>
            </w:r>
            <w:r w:rsidR="003F3B25">
              <w:rPr>
                <w:b w:val="0"/>
                <w:bCs w:val="0"/>
                <w:szCs w:val="20"/>
              </w:rPr>
              <w:t>33-34</w:t>
            </w:r>
          </w:p>
        </w:tc>
      </w:tr>
      <w:tr w:rsidR="00C73A76" w:rsidRPr="00ED3991" w:rsidTr="00132535">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C73A76" w:rsidRPr="00ED3991" w:rsidRDefault="00C73A76" w:rsidP="00132535">
            <w:pPr>
              <w:autoSpaceDE w:val="0"/>
              <w:autoSpaceDN w:val="0"/>
              <w:adjustRightInd w:val="0"/>
              <w:rPr>
                <w:rFonts w:eastAsiaTheme="minorHAnsi" w:cs="Calibri"/>
                <w:color w:val="000000"/>
                <w:szCs w:val="20"/>
              </w:rPr>
            </w:pPr>
            <w:r w:rsidRPr="00ED3991">
              <w:rPr>
                <w:rFonts w:eastAsiaTheme="minorHAnsi" w:cs="Calibri"/>
                <w:color w:val="000000"/>
                <w:szCs w:val="20"/>
              </w:rPr>
              <w:t>Text:</w:t>
            </w:r>
          </w:p>
          <w:p w:rsidR="003F3B25" w:rsidRPr="003F3B25" w:rsidRDefault="003F3B25" w:rsidP="003F3B25">
            <w:pPr>
              <w:autoSpaceDE w:val="0"/>
              <w:autoSpaceDN w:val="0"/>
              <w:adjustRightInd w:val="0"/>
              <w:rPr>
                <w:rFonts w:ascii="Calibri" w:eastAsiaTheme="minorHAnsi" w:hAnsi="Calibri" w:cs="Calibri"/>
                <w:color w:val="000000"/>
                <w:sz w:val="23"/>
                <w:szCs w:val="23"/>
              </w:rPr>
            </w:pPr>
            <w:r w:rsidRPr="003F3B25">
              <w:rPr>
                <w:rFonts w:ascii="Calibri" w:eastAsiaTheme="minorHAnsi" w:hAnsi="Calibri" w:cs="Calibri"/>
                <w:color w:val="003C6F"/>
                <w:sz w:val="23"/>
                <w:szCs w:val="23"/>
              </w:rPr>
              <w:t xml:space="preserve">Standardized Order Entry and Results Display </w:t>
            </w:r>
          </w:p>
          <w:p w:rsidR="003F3B25" w:rsidRPr="003F3B25" w:rsidRDefault="003F3B25" w:rsidP="003F3B25">
            <w:pPr>
              <w:rPr>
                <w:rFonts w:eastAsiaTheme="minorHAnsi"/>
                <w:b w:val="0"/>
                <w:color w:val="000000"/>
              </w:rPr>
            </w:pPr>
            <w:r w:rsidRPr="003F3B25">
              <w:rPr>
                <w:rFonts w:eastAsiaTheme="minorHAnsi"/>
                <w:b w:val="0"/>
              </w:rPr>
              <w:t>EHRs can also create burden for clinicians when they enter orders for medication, treatment, and diagnostics. Clinical end users who place medical orders are routinely confronted with lengthy drop-down menus that are not standardized and may be difficult to navigate. This is particularly evident when ordering medications.</w:t>
            </w:r>
            <w:r w:rsidRPr="003F3B25">
              <w:rPr>
                <w:rFonts w:eastAsiaTheme="minorHAnsi"/>
                <w:b w:val="0"/>
                <w:sz w:val="14"/>
                <w:szCs w:val="14"/>
              </w:rPr>
              <w:t xml:space="preserve">56 </w:t>
            </w:r>
            <w:r w:rsidRPr="003F3B25">
              <w:rPr>
                <w:rFonts w:eastAsiaTheme="minorHAnsi"/>
                <w:b w:val="0"/>
              </w:rPr>
              <w:t>In addition to the frustration inherent in trying to find the correct medication from an extensive drop-down list, medication selection also presents patient safety issues as the names of medications may be similar and only differ by a few letters.</w:t>
            </w:r>
            <w:r w:rsidRPr="003F3B25">
              <w:rPr>
                <w:rFonts w:eastAsiaTheme="minorHAnsi"/>
                <w:b w:val="0"/>
                <w:sz w:val="14"/>
                <w:szCs w:val="14"/>
              </w:rPr>
              <w:t xml:space="preserve">57 </w:t>
            </w:r>
            <w:r w:rsidRPr="003F3B25">
              <w:rPr>
                <w:rFonts w:eastAsiaTheme="minorHAnsi"/>
                <w:b w:val="0"/>
              </w:rPr>
              <w:t xml:space="preserve">Compounding this issue, medications in the United States are typically referred to by both their brand and generic names. The formulation, dosage, and schedule information can also appear differently depending on the EHR system. Each of these issues adds an additional layer of cognitive load on the end user, increasing burden. </w:t>
            </w:r>
          </w:p>
          <w:p w:rsidR="005F0F63" w:rsidRPr="005F0F63" w:rsidRDefault="005F0F63" w:rsidP="005F0F63">
            <w:pPr>
              <w:rPr>
                <w:rFonts w:eastAsiaTheme="minorHAnsi"/>
                <w:b w:val="0"/>
              </w:rPr>
            </w:pPr>
          </w:p>
          <w:p w:rsidR="003F3B25" w:rsidRPr="00523D60" w:rsidRDefault="003F3B25" w:rsidP="005F0F63">
            <w:pPr>
              <w:rPr>
                <w:b w:val="0"/>
              </w:rPr>
            </w:pPr>
            <w:r w:rsidRPr="00523D60">
              <w:rPr>
                <w:b w:val="0"/>
              </w:rPr>
              <w:t>Treatment, laboratory test, and diagnostic</w:t>
            </w:r>
            <w:r w:rsidRPr="00523D60">
              <w:rPr>
                <w:rFonts w:eastAsiaTheme="minorHAnsi"/>
                <w:b w:val="0"/>
              </w:rPr>
              <w:t xml:space="preserve"> imaging orders present similar issues. Frequently, ordering clinicians are presented with long lists of possible choices with display values that are very similar and only differ by a few characters.</w:t>
            </w:r>
            <w:r w:rsidRPr="00523D60">
              <w:rPr>
                <w:rFonts w:eastAsiaTheme="minorHAnsi"/>
                <w:b w:val="0"/>
                <w:sz w:val="14"/>
                <w:szCs w:val="14"/>
              </w:rPr>
              <w:t xml:space="preserve">58 </w:t>
            </w:r>
            <w:r w:rsidRPr="00523D60">
              <w:rPr>
                <w:rFonts w:eastAsiaTheme="minorHAnsi"/>
                <w:b w:val="0"/>
              </w:rPr>
              <w:t>Moreover, the information presented in these lists does not always appropriately align with the medical product or service requested.</w:t>
            </w:r>
            <w:r w:rsidRPr="00523D60">
              <w:rPr>
                <w:rFonts w:eastAsiaTheme="minorHAnsi"/>
                <w:b w:val="0"/>
                <w:sz w:val="14"/>
                <w:szCs w:val="14"/>
              </w:rPr>
              <w:t xml:space="preserve">59 </w:t>
            </w:r>
            <w:r w:rsidRPr="00523D60">
              <w:rPr>
                <w:rFonts w:eastAsiaTheme="minorHAnsi"/>
                <w:b w:val="0"/>
              </w:rPr>
              <w:t>This may result in order mistakes</w:t>
            </w:r>
            <w:r w:rsidRPr="00523D60">
              <w:rPr>
                <w:b w:val="0"/>
              </w:rPr>
              <w:t xml:space="preserve">, with either the wrong test being carried out or extra communication required between the ordering clinician and laboratory or radiology staff to determine which test was initially intended. Similarly, the display of laboratory test results can also cause confusion.60 Laboratory results for a patient are typically displayed in a tabular fashion similar to a spreadsheet, with test names displayed as rows and result dates displayed as columns. The actual result value is found in the appropriate cell of the table. Different EHRs, however, lay out the laboratory results table in different configurations, most notably with regards to chronology. Some systems display the oldest results to the left, others display the newest results to the left, and still other systems allow the end user to configure this as an option. Results screens that a user is not familiar with can increase the likelihood of error.61 </w:t>
            </w:r>
          </w:p>
          <w:p w:rsidR="005F0F63" w:rsidRPr="00523D60" w:rsidRDefault="005F0F63" w:rsidP="003F3B25">
            <w:pPr>
              <w:rPr>
                <w:rFonts w:ascii="Calibri" w:eastAsiaTheme="minorHAnsi" w:hAnsi="Calibri" w:cs="Calibri"/>
                <w:b w:val="0"/>
                <w:bCs w:val="0"/>
                <w:color w:val="3B3B3A"/>
                <w:sz w:val="22"/>
              </w:rPr>
            </w:pPr>
          </w:p>
          <w:p w:rsidR="00C73A76" w:rsidRPr="005F0F63" w:rsidRDefault="003F3B25" w:rsidP="005F0F63">
            <w:pPr>
              <w:rPr>
                <w:rFonts w:eastAsiaTheme="minorHAnsi"/>
                <w:b w:val="0"/>
                <w:color w:val="000000"/>
                <w:szCs w:val="20"/>
              </w:rPr>
            </w:pPr>
            <w:r w:rsidRPr="00523D60">
              <w:rPr>
                <w:rFonts w:eastAsiaTheme="minorHAnsi"/>
                <w:b w:val="0"/>
              </w:rPr>
              <w:t>There are design features that could reduce burden, increase safety, and help clinicians find the appropriate option more quickly. Features such as screen emphasis, typography, and color choices can make it substantially easier for a user to locate the correct medication or diagnostic order.</w:t>
            </w:r>
            <w:r w:rsidRPr="00523D60">
              <w:rPr>
                <w:rFonts w:eastAsiaTheme="minorHAnsi"/>
                <w:b w:val="0"/>
                <w:sz w:val="14"/>
                <w:szCs w:val="14"/>
              </w:rPr>
              <w:t xml:space="preserve">62 </w:t>
            </w:r>
            <w:r w:rsidRPr="00523D60">
              <w:rPr>
                <w:rFonts w:eastAsiaTheme="minorHAnsi"/>
                <w:b w:val="0"/>
              </w:rPr>
              <w:t>For example, by writing part of a drug's name in upper case letters to help distinguish look-alike drugs from one another (“tall man lettering”),</w:t>
            </w:r>
            <w:r w:rsidRPr="00523D60">
              <w:rPr>
                <w:rFonts w:eastAsiaTheme="minorHAnsi"/>
                <w:b w:val="0"/>
                <w:sz w:val="14"/>
                <w:szCs w:val="14"/>
              </w:rPr>
              <w:t xml:space="preserve">63 </w:t>
            </w:r>
            <w:r w:rsidRPr="00523D60">
              <w:rPr>
                <w:rFonts w:eastAsiaTheme="minorHAnsi"/>
                <w:b w:val="0"/>
              </w:rPr>
              <w:t>end users would be able to more quickly identify the appropriate medication, thus reducing health care provider burden. There is currently no certification requirement that health IT designers use a standardized design format.</w:t>
            </w:r>
          </w:p>
        </w:tc>
      </w:tr>
      <w:tr w:rsidR="00C73A76" w:rsidRPr="00517D5D" w:rsidTr="00132535">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C73A76" w:rsidRPr="00ED3991" w:rsidRDefault="00C73A76" w:rsidP="00132535">
            <w:pPr>
              <w:spacing w:before="40" w:after="60" w:line="276" w:lineRule="auto"/>
              <w:rPr>
                <w:szCs w:val="20"/>
              </w:rPr>
            </w:pPr>
            <w:r w:rsidRPr="00ED3991">
              <w:rPr>
                <w:bCs w:val="0"/>
                <w:szCs w:val="20"/>
              </w:rPr>
              <w:t>Comment:</w:t>
            </w:r>
          </w:p>
          <w:p w:rsidR="00203E82" w:rsidRDefault="005F0F63" w:rsidP="00787356">
            <w:pPr>
              <w:spacing w:before="40" w:after="60"/>
              <w:rPr>
                <w:b w:val="0"/>
                <w:szCs w:val="20"/>
              </w:rPr>
            </w:pPr>
            <w:r>
              <w:rPr>
                <w:b w:val="0"/>
                <w:szCs w:val="20"/>
              </w:rPr>
              <w:t xml:space="preserve">We strongly suggest that the </w:t>
            </w:r>
            <w:r w:rsidR="00203E82">
              <w:rPr>
                <w:b w:val="0"/>
                <w:szCs w:val="20"/>
              </w:rPr>
              <w:t xml:space="preserve">laboratory community be consulted for input on </w:t>
            </w:r>
            <w:r w:rsidR="004C5560">
              <w:rPr>
                <w:b w:val="0"/>
                <w:szCs w:val="20"/>
              </w:rPr>
              <w:t xml:space="preserve">order entry and </w:t>
            </w:r>
            <w:r w:rsidR="00203E82">
              <w:rPr>
                <w:b w:val="0"/>
                <w:szCs w:val="20"/>
              </w:rPr>
              <w:t xml:space="preserve">the display of laboratory results, for example, through the American Clinical Laboratory Association.  Additionally CLIA contains regulations which may impact design decisions, which should be coordinated with </w:t>
            </w:r>
            <w:r w:rsidR="00787356" w:rsidRPr="00523D60">
              <w:rPr>
                <w:b w:val="0"/>
                <w:szCs w:val="20"/>
              </w:rPr>
              <w:t>the CMS Division of Laboratory Improvement and Quality (which regulates CLIA) and ONC.</w:t>
            </w:r>
          </w:p>
          <w:p w:rsidR="00C73A76" w:rsidRPr="00203E82" w:rsidRDefault="00203E82" w:rsidP="00787356">
            <w:pPr>
              <w:autoSpaceDE w:val="0"/>
              <w:autoSpaceDN w:val="0"/>
              <w:adjustRightInd w:val="0"/>
              <w:rPr>
                <w:rFonts w:eastAsiaTheme="minorHAnsi" w:cs="Times New Roman"/>
                <w:b w:val="0"/>
                <w:color w:val="000000"/>
                <w:szCs w:val="20"/>
              </w:rPr>
            </w:pPr>
            <w:r w:rsidRPr="00523D60">
              <w:rPr>
                <w:rFonts w:eastAsiaTheme="minorHAnsi" w:cs="Times New Roman"/>
                <w:b w:val="0"/>
                <w:color w:val="000000" w:themeColor="text1"/>
                <w:szCs w:val="20"/>
              </w:rPr>
              <w:t xml:space="preserve">The CLIA Regulations at 42 CFR 493.1291 - Test Report define the items that must appear on a clinical laboratory report. Note that the value(s) of some items that are supplied on the order and flow through to the Test Report are defined in 42 CFR 493.1241 - Test Request, 42 CFR 493.1273 – Histopathology, 42 CFR 493.1274 – Cytology, 42 CFR 493.1276 – Clinical Cytogenetics, and 42 CFR 493.1278 - Histocompatibility. </w:t>
            </w:r>
          </w:p>
        </w:tc>
      </w:tr>
    </w:tbl>
    <w:p w:rsidR="00670A52" w:rsidRDefault="00670A52" w:rsidP="009033AE">
      <w:pPr>
        <w:rPr>
          <w:szCs w:val="20"/>
        </w:rPr>
      </w:pPr>
    </w:p>
    <w:p w:rsidR="00670A52" w:rsidRDefault="00670A52">
      <w:pPr>
        <w:rPr>
          <w:szCs w:val="20"/>
        </w:rPr>
      </w:pPr>
      <w:r>
        <w:rPr>
          <w:szCs w:val="20"/>
        </w:rPr>
        <w:br w:type="page"/>
      </w:r>
    </w:p>
    <w:p w:rsidR="00C73A76" w:rsidRDefault="00C73A76" w:rsidP="009033AE">
      <w:pPr>
        <w:rPr>
          <w:szCs w:val="20"/>
        </w:rPr>
      </w:pPr>
    </w:p>
    <w:tbl>
      <w:tblPr>
        <w:tblStyle w:val="MediumShading1-Accent1112"/>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C73A76" w:rsidRPr="00ED3991" w:rsidTr="00132535">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C73A76" w:rsidRPr="00ED3991" w:rsidRDefault="00C73A76" w:rsidP="00132535">
            <w:pPr>
              <w:spacing w:line="276" w:lineRule="auto"/>
              <w:rPr>
                <w:b w:val="0"/>
                <w:bCs w:val="0"/>
                <w:szCs w:val="20"/>
              </w:rPr>
            </w:pPr>
            <w:r w:rsidRPr="00ED3991">
              <w:rPr>
                <w:b w:val="0"/>
                <w:bCs w:val="0"/>
                <w:szCs w:val="20"/>
              </w:rPr>
              <w:t>Page #</w:t>
            </w:r>
            <w:r w:rsidR="00670A52">
              <w:rPr>
                <w:b w:val="0"/>
                <w:bCs w:val="0"/>
                <w:szCs w:val="20"/>
              </w:rPr>
              <w:t>41-42</w:t>
            </w:r>
          </w:p>
        </w:tc>
      </w:tr>
      <w:tr w:rsidR="00C73A76" w:rsidRPr="00ED3991" w:rsidTr="00132535">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C73A76" w:rsidRPr="00ED3991" w:rsidRDefault="00C73A76" w:rsidP="00132535">
            <w:pPr>
              <w:autoSpaceDE w:val="0"/>
              <w:autoSpaceDN w:val="0"/>
              <w:adjustRightInd w:val="0"/>
              <w:rPr>
                <w:rFonts w:eastAsiaTheme="minorHAnsi" w:cs="Calibri"/>
                <w:color w:val="000000"/>
                <w:szCs w:val="20"/>
              </w:rPr>
            </w:pPr>
            <w:r w:rsidRPr="00ED3991">
              <w:rPr>
                <w:rFonts w:eastAsiaTheme="minorHAnsi" w:cs="Calibri"/>
                <w:color w:val="000000"/>
                <w:szCs w:val="20"/>
              </w:rPr>
              <w:t>Text:</w:t>
            </w:r>
          </w:p>
          <w:p w:rsidR="00670A52" w:rsidRPr="00670A52" w:rsidRDefault="00670A52" w:rsidP="00670A52">
            <w:pPr>
              <w:autoSpaceDE w:val="0"/>
              <w:autoSpaceDN w:val="0"/>
              <w:adjustRightInd w:val="0"/>
              <w:rPr>
                <w:rFonts w:ascii="Calibri" w:eastAsiaTheme="minorHAnsi" w:hAnsi="Calibri" w:cs="Calibri"/>
                <w:color w:val="000000"/>
                <w:sz w:val="23"/>
                <w:szCs w:val="23"/>
              </w:rPr>
            </w:pPr>
            <w:r w:rsidRPr="00670A52">
              <w:rPr>
                <w:rFonts w:ascii="Calibri" w:eastAsiaTheme="minorHAnsi" w:hAnsi="Calibri" w:cs="Calibri"/>
                <w:color w:val="003C6F"/>
                <w:sz w:val="23"/>
                <w:szCs w:val="23"/>
              </w:rPr>
              <w:t xml:space="preserve">Inconsistent Public Health and Grant Funding Requirements across Federal Agencies </w:t>
            </w:r>
          </w:p>
          <w:p w:rsidR="00670A52" w:rsidRDefault="00670A52" w:rsidP="00670A52">
            <w:pPr>
              <w:rPr>
                <w:rFonts w:eastAsiaTheme="minorHAnsi"/>
                <w:b w:val="0"/>
              </w:rPr>
            </w:pPr>
            <w:r w:rsidRPr="00670A52">
              <w:rPr>
                <w:rFonts w:eastAsiaTheme="minorHAnsi"/>
                <w:b w:val="0"/>
              </w:rPr>
              <w:t xml:space="preserve">Currently, public health reporting and reporting related to population health data under federal grant programs require clinicians to create and support numerous interfaces to public health entities, each of which may require custom changes to reports and/or duplicative entry into unique forms. Moreover, while many implementation guides advise health care providers to submit syndromic surveillance feeds to state health departments every 24 hours, certification cannot enforce this reporting timeline and some jurisdictions require differing timelines. This burden of creating numerous interfaces also exists within programs and for entities receiving funding from multiple federal agencies. For example, CDC, SAMHSA, HRSA, and the United States Department of Agriculture (USDA) all require the capture and reporting of data elements typically found in EHRs. However, these requirements are not harmonized across state and local public health agencies collecting data from health care providers. This is particularly burdensome for participants—as well as the health IT developers and public health agencies supporting them—in programs that support multi-agency efforts, such as those related to Zika and/or HIV response, which require frequent data reporting in order to remain eligible for continued funding. Moreover, due to lack of resources for interoperable reporting infrastructure on the state, local, territorial, or tribal level, many of these data collection activities still require paper-based reporting or manual data entry into web portals, despite much of the data being available in an electronic format that could facilitate transmission if messaging/data standards were appropriately applied. </w:t>
            </w:r>
          </w:p>
          <w:p w:rsidR="00670A52" w:rsidRPr="00670A52" w:rsidRDefault="00670A52" w:rsidP="00670A52">
            <w:pPr>
              <w:rPr>
                <w:rFonts w:eastAsiaTheme="minorHAnsi"/>
                <w:b w:val="0"/>
                <w:color w:val="000000"/>
              </w:rPr>
            </w:pPr>
          </w:p>
          <w:p w:rsidR="00670A52" w:rsidRDefault="00670A52" w:rsidP="00670A52">
            <w:pPr>
              <w:rPr>
                <w:rFonts w:eastAsiaTheme="minorHAnsi"/>
                <w:b w:val="0"/>
              </w:rPr>
            </w:pPr>
            <w:r w:rsidRPr="00670A52">
              <w:rPr>
                <w:rFonts w:eastAsiaTheme="minorHAnsi"/>
                <w:b w:val="0"/>
              </w:rPr>
              <w:t xml:space="preserve">Even with the standardization and electronic reporting of public health data enabled through MIPS and the Promoting Interoperability Programs (formerly known as the EHR Incentive Programs) and the ONC Health IT Certification Program, many burdens remain for health care providers. While implementation guides dictate the submission formats for public health data using health IT, these guides still allow for some variability in order to allow for variation in state, local, territorial, and tribal mandates. Unlike EHRs, receiving systems at the public health agencies are not certified and often have significant variation across jurisdictions. This variation makes it difficult and expensive for vendors as well as large health care provider organizations that reach across jurisdictional boundaries. Variation in the transport of electronic information to public health agencies also creates health care provider burden. Even within one public health jurisdiction, different transport requirements may be required for different public health options. For example, Simple Object Access Protocol (SOAP) web services may be required for immunization reporting while secure File Transfer Protocol (FTP) may be required for syndromic surveillance. </w:t>
            </w:r>
          </w:p>
          <w:p w:rsidR="00670A52" w:rsidRPr="00670A52" w:rsidRDefault="00670A52" w:rsidP="00670A52">
            <w:pPr>
              <w:rPr>
                <w:rFonts w:eastAsiaTheme="minorHAnsi"/>
                <w:b w:val="0"/>
                <w:color w:val="000000"/>
              </w:rPr>
            </w:pPr>
          </w:p>
          <w:p w:rsidR="00670A52" w:rsidRPr="00523D60" w:rsidRDefault="00670A52" w:rsidP="00670A52">
            <w:pPr>
              <w:rPr>
                <w:rFonts w:eastAsiaTheme="minorHAnsi"/>
                <w:b w:val="0"/>
              </w:rPr>
            </w:pPr>
            <w:r w:rsidRPr="00670A52">
              <w:rPr>
                <w:rFonts w:eastAsiaTheme="minorHAnsi"/>
                <w:b w:val="0"/>
              </w:rPr>
              <w:t xml:space="preserve">Health care providers regularly report to a wide range of additional public health registries and similar systems. The majority of this reporting is funded by the CDC with reporting occurring to state and local public health agencies. As with the scenarios described above, much of the data already exists electronically within the EHR. Most of these systems are registries that collect information about reportable disease/outbreak investigation (e.g., salmonella) or those that are utilized for chronic disease surveillance (e.g., cancer). Note that a </w:t>
            </w:r>
            <w:r w:rsidRPr="00523D60">
              <w:rPr>
                <w:rFonts w:eastAsiaTheme="minorHAnsi"/>
                <w:b w:val="0"/>
              </w:rPr>
              <w:t>positive laboratory test of a reportable disease may result in additional follow-up to track the treatment of the disease. Many public health registries collect information from heath care providers reporting to state systems; in some cases, the states report the information to the CDC. The variation resulting from state differences poses problems as EHR data are used to populate electronic reporting to these state-based systems.</w:t>
            </w:r>
          </w:p>
          <w:p w:rsidR="00670A52" w:rsidRPr="00523D60" w:rsidRDefault="00670A52" w:rsidP="00670A52">
            <w:pPr>
              <w:rPr>
                <w:rFonts w:eastAsiaTheme="minorHAnsi"/>
                <w:b w:val="0"/>
                <w:color w:val="000000"/>
              </w:rPr>
            </w:pPr>
          </w:p>
          <w:p w:rsidR="00670A52" w:rsidRDefault="00670A52" w:rsidP="00670A52">
            <w:pPr>
              <w:rPr>
                <w:rFonts w:eastAsiaTheme="minorHAnsi"/>
                <w:b w:val="0"/>
              </w:rPr>
            </w:pPr>
            <w:r w:rsidRPr="00523D60">
              <w:rPr>
                <w:rFonts w:eastAsiaTheme="minorHAnsi"/>
                <w:b w:val="0"/>
              </w:rPr>
              <w:t>In addition to the numerous public health reporting requirements, CDC, SAMSHA, FDA, HRSA, and USDA also fund state and local public health jurisdictions to collect clinical data from health care providers. Many of these reporting requirements overlap with each other and with requirements from the CDC. Although</w:t>
            </w:r>
            <w:r w:rsidRPr="00670A52">
              <w:rPr>
                <w:rFonts w:eastAsiaTheme="minorHAnsi"/>
                <w:b w:val="0"/>
              </w:rPr>
              <w:t xml:space="preserve"> reporting requirements vary by state, any facility with publicly funded clients are required to report their data to their state health department as part of the Treatment Episode Data Set (TEDS) submission. HRSA provides funding to state and local jurisdictions, as well as directly to health care providers through various aspects of the Ryan White HIV/AIDS Program funding.</w:t>
            </w:r>
            <w:r w:rsidRPr="00670A52">
              <w:rPr>
                <w:rFonts w:eastAsiaTheme="minorHAnsi"/>
                <w:b w:val="0"/>
                <w:sz w:val="14"/>
                <w:szCs w:val="14"/>
              </w:rPr>
              <w:t xml:space="preserve">84 </w:t>
            </w:r>
            <w:r w:rsidRPr="00670A52">
              <w:rPr>
                <w:rFonts w:eastAsiaTheme="minorHAnsi"/>
                <w:b w:val="0"/>
              </w:rPr>
              <w:t>Many of the recipients of these funds include community-based primary care facilities, including federally qualified health centers. As part of the conditions of funding, these facilities are required to submit extensive data to their state or local health departments. Although many of the data elements overlap with other public health reporting requirements, the format of these extracts is unique to HRSA reporting.</w:t>
            </w:r>
          </w:p>
          <w:p w:rsidR="006B5316" w:rsidRDefault="006B5316" w:rsidP="00670A52">
            <w:pPr>
              <w:rPr>
                <w:rFonts w:eastAsiaTheme="minorHAnsi"/>
                <w:b w:val="0"/>
              </w:rPr>
            </w:pPr>
          </w:p>
          <w:p w:rsidR="006B5316" w:rsidRPr="00670A52" w:rsidRDefault="006B5316" w:rsidP="00670A52">
            <w:pPr>
              <w:rPr>
                <w:rFonts w:eastAsiaTheme="minorHAnsi"/>
                <w:b w:val="0"/>
                <w:color w:val="000000"/>
                <w:szCs w:val="20"/>
              </w:rPr>
            </w:pPr>
            <w:r>
              <w:rPr>
                <w:rFonts w:eastAsiaTheme="minorHAnsi"/>
                <w:b w:val="0"/>
              </w:rPr>
              <w:t>…</w:t>
            </w:r>
          </w:p>
        </w:tc>
      </w:tr>
      <w:tr w:rsidR="00C73A76" w:rsidRPr="00517D5D" w:rsidTr="00132535">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C73A76" w:rsidRPr="00ED3991" w:rsidRDefault="00C73A76" w:rsidP="00132535">
            <w:pPr>
              <w:spacing w:before="40" w:after="60" w:line="276" w:lineRule="auto"/>
              <w:rPr>
                <w:szCs w:val="20"/>
              </w:rPr>
            </w:pPr>
            <w:r w:rsidRPr="00ED3991">
              <w:rPr>
                <w:bCs w:val="0"/>
                <w:szCs w:val="20"/>
              </w:rPr>
              <w:lastRenderedPageBreak/>
              <w:t>Comment:</w:t>
            </w:r>
          </w:p>
          <w:p w:rsidR="008601E7" w:rsidRPr="00517D5D" w:rsidRDefault="008601E7" w:rsidP="00725DF7">
            <w:pPr>
              <w:spacing w:before="40" w:after="60"/>
              <w:rPr>
                <w:b w:val="0"/>
                <w:szCs w:val="20"/>
              </w:rPr>
            </w:pPr>
            <w:r>
              <w:rPr>
                <w:b w:val="0"/>
                <w:szCs w:val="20"/>
              </w:rPr>
              <w:t>This section summarizes multiple issues, but does not identify a resolution.  ACLA strongly supports developing a unified, federal strategy to migrate to a common reporting format, using a consistent standard, for all agencies to migrate to in future.</w:t>
            </w:r>
          </w:p>
        </w:tc>
      </w:tr>
    </w:tbl>
    <w:p w:rsidR="00985DB0" w:rsidRDefault="00985DB0" w:rsidP="009033AE">
      <w:pPr>
        <w:rPr>
          <w:szCs w:val="20"/>
        </w:rPr>
      </w:pPr>
    </w:p>
    <w:p w:rsidR="00985DB0" w:rsidRDefault="00985DB0">
      <w:pPr>
        <w:rPr>
          <w:szCs w:val="20"/>
        </w:rPr>
      </w:pPr>
      <w:r>
        <w:rPr>
          <w:szCs w:val="20"/>
        </w:rPr>
        <w:br w:type="page"/>
      </w:r>
    </w:p>
    <w:p w:rsidR="00C73A76" w:rsidRDefault="00C73A76" w:rsidP="009033AE">
      <w:pPr>
        <w:rPr>
          <w:szCs w:val="20"/>
        </w:rPr>
      </w:pPr>
    </w:p>
    <w:tbl>
      <w:tblPr>
        <w:tblStyle w:val="MediumShading1-Accent1112"/>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985DB0" w:rsidRPr="00ED3991" w:rsidTr="00132535">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985DB0" w:rsidRPr="00ED3991" w:rsidRDefault="00985DB0" w:rsidP="00132535">
            <w:pPr>
              <w:spacing w:line="276" w:lineRule="auto"/>
              <w:rPr>
                <w:b w:val="0"/>
                <w:bCs w:val="0"/>
                <w:szCs w:val="20"/>
              </w:rPr>
            </w:pPr>
            <w:r w:rsidRPr="00ED3991">
              <w:rPr>
                <w:b w:val="0"/>
                <w:bCs w:val="0"/>
                <w:szCs w:val="20"/>
              </w:rPr>
              <w:t>Page #</w:t>
            </w:r>
            <w:r>
              <w:rPr>
                <w:b w:val="0"/>
                <w:bCs w:val="0"/>
                <w:szCs w:val="20"/>
              </w:rPr>
              <w:t>53</w:t>
            </w:r>
          </w:p>
        </w:tc>
      </w:tr>
      <w:tr w:rsidR="00985DB0" w:rsidRPr="00ED3991" w:rsidTr="00132535">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985DB0" w:rsidRPr="00ED3991" w:rsidRDefault="00985DB0" w:rsidP="00132535">
            <w:pPr>
              <w:autoSpaceDE w:val="0"/>
              <w:autoSpaceDN w:val="0"/>
              <w:adjustRightInd w:val="0"/>
              <w:rPr>
                <w:rFonts w:eastAsiaTheme="minorHAnsi" w:cs="Calibri"/>
                <w:color w:val="000000"/>
                <w:szCs w:val="20"/>
              </w:rPr>
            </w:pPr>
            <w:r w:rsidRPr="00ED3991">
              <w:rPr>
                <w:rFonts w:eastAsiaTheme="minorHAnsi" w:cs="Calibri"/>
                <w:color w:val="000000"/>
                <w:szCs w:val="20"/>
              </w:rPr>
              <w:t>Text:</w:t>
            </w:r>
          </w:p>
          <w:p w:rsidR="00985DB0" w:rsidRPr="00985DB0" w:rsidRDefault="00985DB0" w:rsidP="00985DB0">
            <w:pPr>
              <w:autoSpaceDE w:val="0"/>
              <w:autoSpaceDN w:val="0"/>
              <w:adjustRightInd w:val="0"/>
              <w:rPr>
                <w:rFonts w:ascii="Calibri" w:eastAsiaTheme="minorHAnsi" w:hAnsi="Calibri" w:cs="Calibri"/>
                <w:color w:val="1D4F90"/>
                <w:sz w:val="24"/>
                <w:szCs w:val="24"/>
              </w:rPr>
            </w:pPr>
            <w:r w:rsidRPr="00985DB0">
              <w:rPr>
                <w:rFonts w:ascii="Calibri" w:eastAsiaTheme="minorHAnsi" w:hAnsi="Calibri" w:cs="Calibri"/>
                <w:color w:val="1D4F90"/>
                <w:sz w:val="24"/>
                <w:szCs w:val="24"/>
              </w:rPr>
              <w:t xml:space="preserve">HEALTH IT USABILITY AND THE USER EXPERIENCE </w:t>
            </w:r>
          </w:p>
          <w:p w:rsidR="00985DB0" w:rsidRPr="00985DB0" w:rsidRDefault="00985DB0" w:rsidP="00985DB0">
            <w:pPr>
              <w:autoSpaceDE w:val="0"/>
              <w:autoSpaceDN w:val="0"/>
              <w:adjustRightInd w:val="0"/>
              <w:rPr>
                <w:rFonts w:ascii="Calibri" w:eastAsiaTheme="minorHAnsi" w:hAnsi="Calibri" w:cs="Calibri"/>
                <w:color w:val="000000"/>
                <w:sz w:val="22"/>
              </w:rPr>
            </w:pPr>
            <w:r w:rsidRPr="00985DB0">
              <w:rPr>
                <w:rFonts w:ascii="Calibri" w:eastAsiaTheme="minorHAnsi" w:hAnsi="Calibri" w:cs="Calibri"/>
                <w:color w:val="1D4F90"/>
                <w:sz w:val="22"/>
              </w:rPr>
              <w:t xml:space="preserve">Strategy 2: Promote user interface optimization in health IT that will improve the efficiency, experience, and end user satisfaction. </w:t>
            </w:r>
          </w:p>
          <w:p w:rsidR="00985DB0" w:rsidRPr="00985DB0" w:rsidRDefault="00985DB0" w:rsidP="00985DB0">
            <w:pPr>
              <w:autoSpaceDE w:val="0"/>
              <w:autoSpaceDN w:val="0"/>
              <w:adjustRightInd w:val="0"/>
              <w:rPr>
                <w:rFonts w:ascii="Calibri" w:eastAsiaTheme="minorHAnsi" w:hAnsi="Calibri" w:cs="Calibri"/>
                <w:color w:val="000000"/>
                <w:szCs w:val="20"/>
              </w:rPr>
            </w:pPr>
            <w:r w:rsidRPr="00985DB0">
              <w:rPr>
                <w:rFonts w:ascii="Calibri" w:eastAsiaTheme="minorHAnsi" w:hAnsi="Calibri" w:cs="Calibri"/>
                <w:color w:val="003C6F"/>
                <w:szCs w:val="20"/>
              </w:rPr>
              <w:t xml:space="preserve">Recommendation 1: Harmonize user actions for basic clinical operations across EHRs. </w:t>
            </w:r>
          </w:p>
          <w:p w:rsidR="00985DB0" w:rsidRPr="00985DB0" w:rsidRDefault="00985DB0" w:rsidP="00985DB0">
            <w:pPr>
              <w:rPr>
                <w:rFonts w:eastAsiaTheme="minorHAnsi"/>
                <w:b w:val="0"/>
                <w:color w:val="000000"/>
                <w:szCs w:val="20"/>
              </w:rPr>
            </w:pPr>
            <w:r w:rsidRPr="00985DB0">
              <w:rPr>
                <w:rFonts w:eastAsiaTheme="minorHAnsi"/>
                <w:b w:val="0"/>
              </w:rPr>
              <w:t>Clinicians often serve at different clinical locations and often need to become proficient in the use of multiple EHRs. EHRs currently have widely divergent GUIs and workflow steps required to complete clinical tasks. Consistent with antitrust requirements, health IT developers should have the opportunity to discuss and jointly arrive at a shared understanding of common interface and workflow design elements for common clinical tasks, beginning with those workflows that directly impact patient safety.</w:t>
            </w:r>
            <w:r>
              <w:rPr>
                <w:rStyle w:val="FootnoteReference"/>
                <w:rFonts w:eastAsiaTheme="minorHAnsi"/>
                <w:b w:val="0"/>
              </w:rPr>
              <w:footnoteReference w:id="15"/>
            </w:r>
            <w:r w:rsidRPr="00985DB0">
              <w:rPr>
                <w:rFonts w:eastAsiaTheme="minorHAnsi"/>
                <w:b w:val="0"/>
                <w:sz w:val="14"/>
                <w:szCs w:val="14"/>
              </w:rPr>
              <w:t xml:space="preserve">107 </w:t>
            </w:r>
            <w:r w:rsidRPr="00985DB0">
              <w:rPr>
                <w:rFonts w:eastAsiaTheme="minorHAnsi"/>
                <w:b w:val="0"/>
              </w:rPr>
              <w:t xml:space="preserve">Harmonizing these common workflows could significantly reduce the cognitive load on the end user by reducing the need to remember a series of divergent workflows for the same basic task. Examples of functionalities that health IT developers could standardize might include, but are not limited to medication reconciliation; medication, laboratory and imaging ordering; results review; problem list interaction; medical history interaction; and clinical documentation authoring and review. Similarly, harmonizing laboratory test codes could support better mapping across systems, better presentation of laboratory information, and better laboratory order entry as part of the clinical workflow. The Electronic Health Records Association’s (EHRA) </w:t>
            </w:r>
            <w:r w:rsidRPr="00985DB0">
              <w:rPr>
                <w:rFonts w:eastAsiaTheme="minorHAnsi"/>
                <w:b w:val="0"/>
                <w:i/>
                <w:iCs/>
              </w:rPr>
              <w:t xml:space="preserve">Design Patterns for Patient </w:t>
            </w:r>
            <w:r w:rsidRPr="00985DB0">
              <w:rPr>
                <w:rFonts w:eastAsiaTheme="minorHAnsi"/>
                <w:b w:val="0"/>
              </w:rPr>
              <w:t>Safety</w:t>
            </w:r>
            <w:r>
              <w:rPr>
                <w:rStyle w:val="FootnoteReference"/>
                <w:rFonts w:eastAsiaTheme="minorHAnsi"/>
                <w:b w:val="0"/>
              </w:rPr>
              <w:footnoteReference w:id="16"/>
            </w:r>
            <w:r w:rsidRPr="00985DB0">
              <w:rPr>
                <w:rFonts w:eastAsiaTheme="minorHAnsi"/>
                <w:b w:val="0"/>
                <w:sz w:val="14"/>
                <w:szCs w:val="14"/>
              </w:rPr>
              <w:t xml:space="preserve">108 </w:t>
            </w:r>
            <w:r w:rsidRPr="00985DB0">
              <w:rPr>
                <w:rFonts w:eastAsiaTheme="minorHAnsi"/>
                <w:b w:val="0"/>
              </w:rPr>
              <w:t>is a good example of this type of developer collaboration. Clinicians and clinical professional societies have the opportunity to collaborate with health IT developers to best inform how to potentially harmonize these across health IT systems.</w:t>
            </w:r>
          </w:p>
        </w:tc>
      </w:tr>
      <w:tr w:rsidR="00985DB0" w:rsidRPr="00517D5D" w:rsidTr="00132535">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985DB0" w:rsidRPr="00ED3991" w:rsidRDefault="00985DB0" w:rsidP="00132535">
            <w:pPr>
              <w:spacing w:before="40" w:after="60" w:line="276" w:lineRule="auto"/>
              <w:rPr>
                <w:szCs w:val="20"/>
              </w:rPr>
            </w:pPr>
            <w:r w:rsidRPr="00ED3991">
              <w:rPr>
                <w:bCs w:val="0"/>
                <w:szCs w:val="20"/>
              </w:rPr>
              <w:t>Comment:</w:t>
            </w:r>
          </w:p>
          <w:p w:rsidR="00523D60" w:rsidRDefault="008D3083" w:rsidP="00523D60">
            <w:pPr>
              <w:spacing w:before="40" w:after="60"/>
              <w:rPr>
                <w:b w:val="0"/>
                <w:szCs w:val="20"/>
              </w:rPr>
            </w:pPr>
            <w:r>
              <w:rPr>
                <w:b w:val="0"/>
                <w:szCs w:val="20"/>
              </w:rPr>
              <w:t xml:space="preserve">The </w:t>
            </w:r>
            <w:r>
              <w:rPr>
                <w:b w:val="0"/>
                <w:i/>
                <w:szCs w:val="20"/>
              </w:rPr>
              <w:t xml:space="preserve">Design </w:t>
            </w:r>
            <w:r w:rsidRPr="008D3083">
              <w:rPr>
                <w:b w:val="0"/>
                <w:i/>
                <w:szCs w:val="20"/>
              </w:rPr>
              <w:t>Patterns for Patient Safety</w:t>
            </w:r>
            <w:r>
              <w:rPr>
                <w:b w:val="0"/>
                <w:szCs w:val="20"/>
              </w:rPr>
              <w:t xml:space="preserve"> document is a pre-release version from 2017; where is the final release or is it still a work in progress</w:t>
            </w:r>
            <w:r w:rsidR="00710252">
              <w:rPr>
                <w:b w:val="0"/>
                <w:szCs w:val="20"/>
              </w:rPr>
              <w:t>?</w:t>
            </w:r>
            <w:r>
              <w:rPr>
                <w:b w:val="0"/>
                <w:szCs w:val="20"/>
              </w:rPr>
              <w:t xml:space="preserve"> Document authors are not listed, but we </w:t>
            </w:r>
            <w:r w:rsidR="00710252">
              <w:rPr>
                <w:b w:val="0"/>
                <w:szCs w:val="20"/>
              </w:rPr>
              <w:t>strongly suggest that the laboratory community be consulted for input on the display of laboratory results, for example, through the American Clinical Laboratory Association (</w:t>
            </w:r>
            <w:hyperlink r:id="rId13" w:history="1">
              <w:r w:rsidR="00710252" w:rsidRPr="00F02D02">
                <w:rPr>
                  <w:rStyle w:val="Hyperlink"/>
                  <w:b w:val="0"/>
                  <w:bCs w:val="0"/>
                  <w:szCs w:val="20"/>
                </w:rPr>
                <w:t>ACLA</w:t>
              </w:r>
            </w:hyperlink>
            <w:r w:rsidR="00710252">
              <w:rPr>
                <w:b w:val="0"/>
                <w:szCs w:val="20"/>
              </w:rPr>
              <w:t xml:space="preserve">).  Additionally CLIA contains regulations which may impact design decisions, which should be coordinated with </w:t>
            </w:r>
            <w:r w:rsidR="00523D60">
              <w:rPr>
                <w:b w:val="0"/>
                <w:szCs w:val="20"/>
              </w:rPr>
              <w:t xml:space="preserve">the </w:t>
            </w:r>
            <w:r w:rsidR="00523D60" w:rsidRPr="00523D60">
              <w:rPr>
                <w:b w:val="0"/>
                <w:szCs w:val="20"/>
              </w:rPr>
              <w:t>CMS Division of Laboratory Improvement and Quality (which regulates CLIA) and ONC.</w:t>
            </w:r>
          </w:p>
          <w:p w:rsidR="0090763E" w:rsidRPr="00523D60" w:rsidRDefault="00710252" w:rsidP="00523D60">
            <w:pPr>
              <w:spacing w:before="40" w:after="60" w:line="276" w:lineRule="auto"/>
              <w:rPr>
                <w:b w:val="0"/>
                <w:color w:val="000000" w:themeColor="text1"/>
                <w:szCs w:val="20"/>
              </w:rPr>
            </w:pPr>
            <w:r w:rsidRPr="00F02D02">
              <w:rPr>
                <w:rFonts w:eastAsiaTheme="minorHAnsi" w:cs="Times New Roman"/>
                <w:b w:val="0"/>
                <w:color w:val="000000" w:themeColor="text1"/>
                <w:szCs w:val="20"/>
              </w:rPr>
              <w:t>The CLIA Regulations at 42 CFR 493.1291 - Test Report define the items that must appear on a clinical laboratory report. Note that the value(s) of some items that are supplied on the order and flow through to the Test Report are defined in 42 CFR 493.1241 - Test Request, 42 CFR 493.1273 – Histopathology, 42 CFR 493.1274 – Cytology, 42 CFR 493.1276 – Clinical Cytogenetics, and 42 CFR 493.1278 - Histocompatibility.</w:t>
            </w:r>
          </w:p>
        </w:tc>
      </w:tr>
    </w:tbl>
    <w:p w:rsidR="00A66743" w:rsidRDefault="00A66743" w:rsidP="009033AE">
      <w:pPr>
        <w:rPr>
          <w:szCs w:val="20"/>
        </w:rPr>
      </w:pPr>
    </w:p>
    <w:tbl>
      <w:tblPr>
        <w:tblStyle w:val="MediumShading1-Accent1112"/>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985DB0" w:rsidRPr="00ED3991" w:rsidTr="00132535">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985DB0" w:rsidRPr="00ED3991" w:rsidRDefault="00985DB0" w:rsidP="00132535">
            <w:pPr>
              <w:spacing w:line="276" w:lineRule="auto"/>
              <w:rPr>
                <w:b w:val="0"/>
                <w:bCs w:val="0"/>
                <w:szCs w:val="20"/>
              </w:rPr>
            </w:pPr>
            <w:r w:rsidRPr="00ED3991">
              <w:rPr>
                <w:b w:val="0"/>
                <w:bCs w:val="0"/>
                <w:szCs w:val="20"/>
              </w:rPr>
              <w:lastRenderedPageBreak/>
              <w:t>Page #</w:t>
            </w:r>
            <w:r w:rsidR="00A66743">
              <w:rPr>
                <w:b w:val="0"/>
                <w:bCs w:val="0"/>
                <w:szCs w:val="20"/>
              </w:rPr>
              <w:t>55</w:t>
            </w:r>
          </w:p>
        </w:tc>
      </w:tr>
      <w:tr w:rsidR="00985DB0" w:rsidRPr="00ED3991" w:rsidTr="00132535">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985DB0" w:rsidRPr="00ED3991" w:rsidRDefault="00985DB0" w:rsidP="00132535">
            <w:pPr>
              <w:autoSpaceDE w:val="0"/>
              <w:autoSpaceDN w:val="0"/>
              <w:adjustRightInd w:val="0"/>
              <w:rPr>
                <w:rFonts w:eastAsiaTheme="minorHAnsi" w:cs="Calibri"/>
                <w:color w:val="000000"/>
                <w:szCs w:val="20"/>
              </w:rPr>
            </w:pPr>
            <w:r w:rsidRPr="00ED3991">
              <w:rPr>
                <w:rFonts w:eastAsiaTheme="minorHAnsi" w:cs="Calibri"/>
                <w:color w:val="000000"/>
                <w:szCs w:val="20"/>
              </w:rPr>
              <w:t>Text:</w:t>
            </w:r>
          </w:p>
          <w:p w:rsidR="00A66743" w:rsidRPr="00A66743" w:rsidRDefault="00A66743" w:rsidP="00A66743">
            <w:pPr>
              <w:autoSpaceDE w:val="0"/>
              <w:autoSpaceDN w:val="0"/>
              <w:adjustRightInd w:val="0"/>
              <w:rPr>
                <w:rFonts w:ascii="Calibri" w:eastAsiaTheme="minorHAnsi" w:hAnsi="Calibri" w:cs="Calibri"/>
                <w:color w:val="000000"/>
                <w:sz w:val="24"/>
                <w:szCs w:val="24"/>
              </w:rPr>
            </w:pPr>
            <w:r w:rsidRPr="00A66743">
              <w:rPr>
                <w:rFonts w:ascii="Calibri" w:eastAsiaTheme="minorHAnsi" w:hAnsi="Calibri" w:cs="Calibri"/>
                <w:color w:val="1D4F90"/>
                <w:sz w:val="24"/>
                <w:szCs w:val="24"/>
              </w:rPr>
              <w:t xml:space="preserve">HEALTH IT USABILITY AND THE USER EXPERIENCE </w:t>
            </w:r>
          </w:p>
          <w:p w:rsidR="00985DB0" w:rsidRPr="00A66743" w:rsidRDefault="00A66743" w:rsidP="00A66743">
            <w:pPr>
              <w:rPr>
                <w:rFonts w:ascii="Calibri" w:eastAsiaTheme="minorHAnsi" w:hAnsi="Calibri" w:cs="Calibri"/>
                <w:color w:val="1D4F90"/>
                <w:sz w:val="22"/>
              </w:rPr>
            </w:pPr>
            <w:r w:rsidRPr="00A66743">
              <w:rPr>
                <w:rFonts w:ascii="Calibri" w:eastAsiaTheme="minorHAnsi" w:hAnsi="Calibri" w:cs="Calibri"/>
                <w:color w:val="1D4F90"/>
                <w:sz w:val="22"/>
              </w:rPr>
              <w:t>Strategy 3: Promote harmonization surrounding clinical content contained in health IT to reduce burden.</w:t>
            </w:r>
          </w:p>
          <w:p w:rsidR="00A66743" w:rsidRDefault="00A66743" w:rsidP="00A66743">
            <w:pPr>
              <w:rPr>
                <w:rFonts w:eastAsiaTheme="minorHAnsi"/>
              </w:rPr>
            </w:pPr>
            <w:r>
              <w:rPr>
                <w:rFonts w:eastAsiaTheme="minorHAnsi"/>
              </w:rPr>
              <w:t>…</w:t>
            </w:r>
          </w:p>
          <w:p w:rsidR="00A66743" w:rsidRPr="00A66743" w:rsidRDefault="00A66743" w:rsidP="00A66743">
            <w:pPr>
              <w:autoSpaceDE w:val="0"/>
              <w:autoSpaceDN w:val="0"/>
              <w:adjustRightInd w:val="0"/>
              <w:rPr>
                <w:rFonts w:ascii="Calibri" w:eastAsiaTheme="minorHAnsi" w:hAnsi="Calibri" w:cs="Calibri"/>
                <w:color w:val="000000"/>
                <w:szCs w:val="20"/>
              </w:rPr>
            </w:pPr>
            <w:r w:rsidRPr="00A66743">
              <w:rPr>
                <w:rFonts w:ascii="Calibri" w:eastAsiaTheme="minorHAnsi" w:hAnsi="Calibri" w:cs="Calibri"/>
                <w:color w:val="003C6F"/>
                <w:szCs w:val="20"/>
              </w:rPr>
              <w:t xml:space="preserve">Recommendation 2: Standardize order entry content within health IT. </w:t>
            </w:r>
          </w:p>
          <w:p w:rsidR="00A66743" w:rsidRPr="00A66743" w:rsidRDefault="00A66743" w:rsidP="00A66743">
            <w:pPr>
              <w:rPr>
                <w:rFonts w:eastAsiaTheme="minorHAnsi"/>
                <w:b w:val="0"/>
              </w:rPr>
            </w:pPr>
            <w:r w:rsidRPr="00523D60">
              <w:rPr>
                <w:rFonts w:eastAsiaTheme="minorHAnsi"/>
                <w:b w:val="0"/>
              </w:rPr>
              <w:t>Order entry for laboratory orders, imaging orders, and procedure orders can be burdensome for end users due to the number of test options available. Frequently, differences in selectable orders are represented by variances of only several characters.</w:t>
            </w:r>
            <w:r w:rsidRPr="00523D60">
              <w:rPr>
                <w:rStyle w:val="FootnoteReference"/>
                <w:rFonts w:eastAsiaTheme="minorHAnsi"/>
                <w:b w:val="0"/>
              </w:rPr>
              <w:footnoteReference w:id="17"/>
            </w:r>
            <w:r w:rsidRPr="00523D60">
              <w:rPr>
                <w:rFonts w:eastAsiaTheme="minorHAnsi"/>
                <w:b w:val="0"/>
                <w:sz w:val="14"/>
                <w:szCs w:val="14"/>
              </w:rPr>
              <w:t xml:space="preserve">117 </w:t>
            </w:r>
            <w:r w:rsidRPr="00523D60">
              <w:rPr>
                <w:rFonts w:eastAsiaTheme="minorHAnsi"/>
                <w:b w:val="0"/>
              </w:rPr>
              <w:t>EHR developers have the opportunity to collaborate with each other and relevant stakeholders to refine descriptions for unique imaging tests that are clear, concise, and reduce confusion. Similarly, laboratory orders also contain potentially confusing options. Organizations such as the CMS Division of Laboratory Improvement and Quality (which regulates CLIA), the American College of Pathology, the Regenstrief Institute (which administers the Logical Observation Identifiers Names and Codes (LOINC) code set), and commercial laboratory corporations can refine test codes and names that are clear, concise, and reduce burden. To increasing the clarity of test options, developers and their collaborators can further improve this functionality by improving default listings of common tests and “favorites” capabilities so that the end result also shortens the available list to reduce end user cognitive load.</w:t>
            </w:r>
            <w:r w:rsidRPr="00523D60">
              <w:rPr>
                <w:rStyle w:val="FootnoteReference"/>
                <w:rFonts w:eastAsiaTheme="minorHAnsi"/>
                <w:b w:val="0"/>
              </w:rPr>
              <w:footnoteReference w:id="18"/>
            </w:r>
            <w:r w:rsidRPr="00523D60">
              <w:rPr>
                <w:rFonts w:eastAsiaTheme="minorHAnsi"/>
                <w:b w:val="0"/>
                <w:sz w:val="14"/>
                <w:szCs w:val="14"/>
              </w:rPr>
              <w:t xml:space="preserve">118 </w:t>
            </w:r>
            <w:r w:rsidRPr="00523D60">
              <w:rPr>
                <w:rFonts w:eastAsiaTheme="minorHAnsi"/>
                <w:b w:val="0"/>
              </w:rPr>
              <w:t xml:space="preserve">Health care institutions can refer to ONC’s </w:t>
            </w:r>
            <w:r w:rsidRPr="00523D60">
              <w:rPr>
                <w:rFonts w:eastAsiaTheme="minorHAnsi"/>
                <w:b w:val="0"/>
                <w:i/>
                <w:iCs/>
              </w:rPr>
              <w:t xml:space="preserve">SAFER Guide: Computer Provider Order Entry with Decision Support </w:t>
            </w:r>
            <w:r w:rsidRPr="00523D60">
              <w:rPr>
                <w:rFonts w:eastAsiaTheme="minorHAnsi"/>
                <w:b w:val="0"/>
              </w:rPr>
              <w:t>to further help optimize systems in this area and reduce clinician burden.</w:t>
            </w:r>
          </w:p>
        </w:tc>
      </w:tr>
      <w:tr w:rsidR="00985DB0" w:rsidRPr="00517D5D" w:rsidTr="00132535">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985DB0" w:rsidRPr="00ED3991" w:rsidRDefault="00985DB0" w:rsidP="00132535">
            <w:pPr>
              <w:spacing w:before="40" w:after="60" w:line="276" w:lineRule="auto"/>
              <w:rPr>
                <w:szCs w:val="20"/>
              </w:rPr>
            </w:pPr>
            <w:r w:rsidRPr="00ED3991">
              <w:rPr>
                <w:bCs w:val="0"/>
                <w:szCs w:val="20"/>
              </w:rPr>
              <w:t>Comment:</w:t>
            </w:r>
          </w:p>
          <w:p w:rsidR="0090763E" w:rsidRPr="00523D60" w:rsidRDefault="00710252" w:rsidP="00523D60">
            <w:pPr>
              <w:spacing w:before="40" w:after="60" w:line="276" w:lineRule="auto"/>
              <w:rPr>
                <w:b w:val="0"/>
                <w:color w:val="000000" w:themeColor="text1"/>
                <w:szCs w:val="20"/>
              </w:rPr>
            </w:pPr>
            <w:r>
              <w:rPr>
                <w:b w:val="0"/>
                <w:szCs w:val="20"/>
              </w:rPr>
              <w:t>We strongly suggest that the laboratory community be consulted for input on order entry standardization, for example, through the American Clinical Laboratory Association (</w:t>
            </w:r>
            <w:hyperlink r:id="rId14" w:history="1">
              <w:r w:rsidRPr="00F02D02">
                <w:rPr>
                  <w:rStyle w:val="Hyperlink"/>
                  <w:b w:val="0"/>
                  <w:bCs w:val="0"/>
                  <w:szCs w:val="20"/>
                </w:rPr>
                <w:t>ACLA</w:t>
              </w:r>
            </w:hyperlink>
            <w:r>
              <w:rPr>
                <w:b w:val="0"/>
                <w:szCs w:val="20"/>
              </w:rPr>
              <w:t>).</w:t>
            </w:r>
          </w:p>
        </w:tc>
      </w:tr>
    </w:tbl>
    <w:p w:rsidR="00523D60" w:rsidRDefault="00523D60" w:rsidP="009033AE">
      <w:pPr>
        <w:rPr>
          <w:szCs w:val="20"/>
        </w:rPr>
      </w:pPr>
    </w:p>
    <w:p w:rsidR="00523D60" w:rsidRDefault="00523D60">
      <w:pPr>
        <w:rPr>
          <w:szCs w:val="20"/>
        </w:rPr>
      </w:pPr>
      <w:r>
        <w:rPr>
          <w:szCs w:val="20"/>
        </w:rPr>
        <w:br w:type="page"/>
      </w:r>
    </w:p>
    <w:p w:rsidR="00985DB0" w:rsidRDefault="00985DB0" w:rsidP="009033AE">
      <w:pPr>
        <w:rPr>
          <w:szCs w:val="20"/>
        </w:rPr>
      </w:pPr>
    </w:p>
    <w:tbl>
      <w:tblPr>
        <w:tblStyle w:val="MediumShading1-Accent1112"/>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985DB0" w:rsidRPr="00ED3991" w:rsidTr="00132535">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985DB0" w:rsidRPr="00ED3991" w:rsidRDefault="00985DB0" w:rsidP="00132535">
            <w:pPr>
              <w:spacing w:line="276" w:lineRule="auto"/>
              <w:rPr>
                <w:b w:val="0"/>
                <w:bCs w:val="0"/>
                <w:szCs w:val="20"/>
              </w:rPr>
            </w:pPr>
            <w:r w:rsidRPr="00ED3991">
              <w:rPr>
                <w:b w:val="0"/>
                <w:bCs w:val="0"/>
                <w:szCs w:val="20"/>
              </w:rPr>
              <w:t>Page #</w:t>
            </w:r>
            <w:r w:rsidR="00681C6B">
              <w:rPr>
                <w:b w:val="0"/>
                <w:bCs w:val="0"/>
                <w:szCs w:val="20"/>
              </w:rPr>
              <w:t>55</w:t>
            </w:r>
          </w:p>
        </w:tc>
      </w:tr>
      <w:tr w:rsidR="00985DB0" w:rsidRPr="00ED3991" w:rsidTr="00132535">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985DB0" w:rsidRPr="00ED3991" w:rsidRDefault="00985DB0" w:rsidP="00132535">
            <w:pPr>
              <w:autoSpaceDE w:val="0"/>
              <w:autoSpaceDN w:val="0"/>
              <w:adjustRightInd w:val="0"/>
              <w:rPr>
                <w:rFonts w:eastAsiaTheme="minorHAnsi" w:cs="Calibri"/>
                <w:color w:val="000000"/>
                <w:szCs w:val="20"/>
              </w:rPr>
            </w:pPr>
            <w:r w:rsidRPr="00ED3991">
              <w:rPr>
                <w:rFonts w:eastAsiaTheme="minorHAnsi" w:cs="Calibri"/>
                <w:color w:val="000000"/>
                <w:szCs w:val="20"/>
              </w:rPr>
              <w:t>Text:</w:t>
            </w:r>
          </w:p>
          <w:p w:rsidR="00681C6B" w:rsidRPr="00A66743" w:rsidRDefault="00681C6B" w:rsidP="00681C6B">
            <w:pPr>
              <w:autoSpaceDE w:val="0"/>
              <w:autoSpaceDN w:val="0"/>
              <w:adjustRightInd w:val="0"/>
              <w:rPr>
                <w:rFonts w:ascii="Calibri" w:eastAsiaTheme="minorHAnsi" w:hAnsi="Calibri" w:cs="Calibri"/>
                <w:color w:val="000000"/>
                <w:sz w:val="24"/>
                <w:szCs w:val="24"/>
              </w:rPr>
            </w:pPr>
            <w:r w:rsidRPr="00A66743">
              <w:rPr>
                <w:rFonts w:ascii="Calibri" w:eastAsiaTheme="minorHAnsi" w:hAnsi="Calibri" w:cs="Calibri"/>
                <w:color w:val="1D4F90"/>
                <w:sz w:val="24"/>
                <w:szCs w:val="24"/>
              </w:rPr>
              <w:t xml:space="preserve">HEALTH IT USABILITY AND THE USER EXPERIENCE </w:t>
            </w:r>
          </w:p>
          <w:p w:rsidR="00681C6B" w:rsidRPr="00A66743" w:rsidRDefault="00681C6B" w:rsidP="00681C6B">
            <w:pPr>
              <w:rPr>
                <w:rFonts w:ascii="Calibri" w:eastAsiaTheme="minorHAnsi" w:hAnsi="Calibri" w:cs="Calibri"/>
                <w:color w:val="1D4F90"/>
                <w:sz w:val="22"/>
              </w:rPr>
            </w:pPr>
            <w:r w:rsidRPr="00A66743">
              <w:rPr>
                <w:rFonts w:ascii="Calibri" w:eastAsiaTheme="minorHAnsi" w:hAnsi="Calibri" w:cs="Calibri"/>
                <w:color w:val="1D4F90"/>
                <w:sz w:val="22"/>
              </w:rPr>
              <w:t>Strategy 3: Promote harmonization surrounding clinical content contained in health IT to reduce burden.</w:t>
            </w:r>
          </w:p>
          <w:p w:rsidR="00681C6B" w:rsidRDefault="00681C6B" w:rsidP="00681C6B">
            <w:pPr>
              <w:rPr>
                <w:rFonts w:eastAsiaTheme="minorHAnsi"/>
              </w:rPr>
            </w:pPr>
            <w:r>
              <w:rPr>
                <w:rFonts w:eastAsiaTheme="minorHAnsi"/>
              </w:rPr>
              <w:t>…</w:t>
            </w:r>
          </w:p>
          <w:p w:rsidR="00681C6B" w:rsidRPr="00681C6B" w:rsidRDefault="00681C6B" w:rsidP="00681C6B">
            <w:pPr>
              <w:autoSpaceDE w:val="0"/>
              <w:autoSpaceDN w:val="0"/>
              <w:adjustRightInd w:val="0"/>
              <w:rPr>
                <w:rFonts w:ascii="Calibri" w:eastAsiaTheme="minorHAnsi" w:hAnsi="Calibri" w:cs="Calibri"/>
                <w:color w:val="000000"/>
                <w:szCs w:val="20"/>
              </w:rPr>
            </w:pPr>
            <w:r w:rsidRPr="00681C6B">
              <w:rPr>
                <w:rFonts w:ascii="Calibri" w:eastAsiaTheme="minorHAnsi" w:hAnsi="Calibri" w:cs="Calibri"/>
                <w:color w:val="003C6F"/>
                <w:szCs w:val="20"/>
              </w:rPr>
              <w:t xml:space="preserve">Recommendation 3: Standardize results display conventions within health IT. </w:t>
            </w:r>
          </w:p>
          <w:p w:rsidR="00985DB0" w:rsidRPr="00523D60" w:rsidRDefault="00681C6B" w:rsidP="00523D60">
            <w:pPr>
              <w:rPr>
                <w:rFonts w:eastAsiaTheme="minorHAnsi"/>
                <w:b w:val="0"/>
                <w:color w:val="000000"/>
              </w:rPr>
            </w:pPr>
            <w:r w:rsidRPr="00523D60">
              <w:rPr>
                <w:rFonts w:eastAsiaTheme="minorHAnsi"/>
                <w:b w:val="0"/>
              </w:rPr>
              <w:t xml:space="preserve">Currently, there is wide variation within health IT in how clinical results are displayed to the clinician. Clinicians may miss important results due to the design of the results screen.119 EHR developers can collaboratively work to identify a common format for displaying results. For example, optimizing and standardizing the display of laboratory test results would allow critical information to be reported first and reduce the overall number of clicks required by physicians. Developers can arrive at a standard for chronological display (older results on left vs. right), abnormal display (flag symbols vs. different colors), and reference range inclusion. Health care institutions can check to see that they have followed ONC’s </w:t>
            </w:r>
            <w:r w:rsidRPr="00523D60">
              <w:rPr>
                <w:rFonts w:eastAsiaTheme="minorHAnsi"/>
                <w:b w:val="0"/>
                <w:i/>
                <w:iCs/>
              </w:rPr>
              <w:t>SAFER Guide: Test Results Reporting and Follow up</w:t>
            </w:r>
            <w:r w:rsidRPr="00523D60">
              <w:rPr>
                <w:rFonts w:eastAsiaTheme="minorHAnsi"/>
                <w:b w:val="0"/>
              </w:rPr>
              <w:t>120 to both improve patient safety and reduce clinician burden in this area.</w:t>
            </w:r>
          </w:p>
        </w:tc>
      </w:tr>
      <w:tr w:rsidR="00985DB0" w:rsidRPr="00517D5D" w:rsidTr="00132535">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985DB0" w:rsidRPr="00ED3991" w:rsidRDefault="00985DB0" w:rsidP="00132535">
            <w:pPr>
              <w:spacing w:before="40" w:after="60" w:line="276" w:lineRule="auto"/>
              <w:rPr>
                <w:szCs w:val="20"/>
              </w:rPr>
            </w:pPr>
            <w:r w:rsidRPr="00ED3991">
              <w:rPr>
                <w:bCs w:val="0"/>
                <w:szCs w:val="20"/>
              </w:rPr>
              <w:t>Comment:</w:t>
            </w:r>
          </w:p>
          <w:p w:rsidR="00095294" w:rsidRDefault="00095294" w:rsidP="00095294">
            <w:pPr>
              <w:spacing w:before="40" w:after="60"/>
              <w:rPr>
                <w:b w:val="0"/>
                <w:szCs w:val="20"/>
              </w:rPr>
            </w:pPr>
            <w:r>
              <w:rPr>
                <w:b w:val="0"/>
                <w:szCs w:val="20"/>
              </w:rPr>
              <w:t>We strongly suggest that the laboratory community be consulted for input on the display of laboratory results, for example, through the American Clinical Laboratory Association (</w:t>
            </w:r>
            <w:hyperlink r:id="rId15" w:history="1">
              <w:r w:rsidRPr="00F02D02">
                <w:rPr>
                  <w:rStyle w:val="Hyperlink"/>
                  <w:b w:val="0"/>
                  <w:bCs w:val="0"/>
                  <w:szCs w:val="20"/>
                </w:rPr>
                <w:t>ACLA</w:t>
              </w:r>
            </w:hyperlink>
            <w:r>
              <w:rPr>
                <w:b w:val="0"/>
                <w:szCs w:val="20"/>
              </w:rPr>
              <w:t>).  Additionally CLIA contains regulations which may impact design decisions, which should be coordinated with</w:t>
            </w:r>
            <w:r w:rsidR="00B55778">
              <w:rPr>
                <w:b w:val="0"/>
                <w:szCs w:val="20"/>
              </w:rPr>
              <w:t xml:space="preserve"> </w:t>
            </w:r>
            <w:r w:rsidR="00B55778" w:rsidRPr="000C61F4">
              <w:rPr>
                <w:b w:val="0"/>
                <w:szCs w:val="20"/>
              </w:rPr>
              <w:t>the</w:t>
            </w:r>
            <w:r w:rsidRPr="000C61F4">
              <w:rPr>
                <w:b w:val="0"/>
                <w:szCs w:val="20"/>
              </w:rPr>
              <w:t xml:space="preserve"> CMS</w:t>
            </w:r>
            <w:r w:rsidR="00B55778" w:rsidRPr="000C61F4">
              <w:rPr>
                <w:b w:val="0"/>
                <w:szCs w:val="20"/>
              </w:rPr>
              <w:t xml:space="preserve"> Division of Laboratory Improvement and Quality (which regulates CLIA) and ONC.</w:t>
            </w:r>
          </w:p>
          <w:p w:rsidR="0090763E" w:rsidRPr="00523D60" w:rsidRDefault="00095294" w:rsidP="00523D60">
            <w:pPr>
              <w:spacing w:before="40" w:after="60" w:line="276" w:lineRule="auto"/>
              <w:rPr>
                <w:b w:val="0"/>
                <w:color w:val="000000" w:themeColor="text1"/>
                <w:szCs w:val="20"/>
              </w:rPr>
            </w:pPr>
            <w:r w:rsidRPr="00F02D02">
              <w:rPr>
                <w:rFonts w:eastAsiaTheme="minorHAnsi" w:cs="Times New Roman"/>
                <w:b w:val="0"/>
                <w:color w:val="000000" w:themeColor="text1"/>
                <w:szCs w:val="20"/>
              </w:rPr>
              <w:t>The CLIA Regulations at 42 CFR 493.1291 - Test Report define the items that must appear on a clinical laboratory report. Note that the value(s) of some items that are supplied on the order and flow through to the Test Report are defined in 42 CFR 493.1241 - Test Request, 42 CFR 493.1273 – Histopathology, 42 CFR 493.1274 – Cytology, 42 CFR 493.1276 – Clinical Cytogenetics, and 42 CFR 493.1278 - Histocompatibility.</w:t>
            </w:r>
          </w:p>
        </w:tc>
      </w:tr>
    </w:tbl>
    <w:p w:rsidR="00985DB0" w:rsidRDefault="00985DB0" w:rsidP="009033AE">
      <w:pPr>
        <w:rPr>
          <w:szCs w:val="20"/>
        </w:rPr>
      </w:pPr>
    </w:p>
    <w:tbl>
      <w:tblPr>
        <w:tblStyle w:val="MediumShading1-Accent1112"/>
        <w:tblW w:w="5000" w:type="pct"/>
        <w:jc w:val="center"/>
        <w:tblBorders>
          <w:insideV w:val="single" w:sz="8" w:space="0" w:color="7BA0CD" w:themeColor="accent1" w:themeTint="BF"/>
        </w:tblBorders>
        <w:tblCellMar>
          <w:left w:w="115" w:type="dxa"/>
          <w:right w:w="115" w:type="dxa"/>
        </w:tblCellMar>
        <w:tblLook w:val="06A0" w:firstRow="1" w:lastRow="0" w:firstColumn="1" w:lastColumn="0" w:noHBand="1" w:noVBand="1"/>
      </w:tblPr>
      <w:tblGrid>
        <w:gridCol w:w="11030"/>
      </w:tblGrid>
      <w:tr w:rsidR="000C4989" w:rsidRPr="00ED3991" w:rsidTr="00132535">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0C4989" w:rsidRPr="00ED3991" w:rsidRDefault="000C4989" w:rsidP="00132535">
            <w:pPr>
              <w:spacing w:line="276" w:lineRule="auto"/>
              <w:rPr>
                <w:b w:val="0"/>
                <w:bCs w:val="0"/>
                <w:szCs w:val="20"/>
              </w:rPr>
            </w:pPr>
            <w:r w:rsidRPr="00ED3991">
              <w:rPr>
                <w:b w:val="0"/>
                <w:bCs w:val="0"/>
                <w:szCs w:val="20"/>
              </w:rPr>
              <w:t>Page #</w:t>
            </w:r>
            <w:r>
              <w:rPr>
                <w:b w:val="0"/>
                <w:bCs w:val="0"/>
                <w:szCs w:val="20"/>
              </w:rPr>
              <w:t>57</w:t>
            </w:r>
          </w:p>
        </w:tc>
      </w:tr>
      <w:tr w:rsidR="000C4989" w:rsidRPr="00ED3991" w:rsidTr="00132535">
        <w:trPr>
          <w:cnfStyle w:val="100000000000" w:firstRow="1" w:lastRow="0" w:firstColumn="0" w:lastColumn="0" w:oddVBand="0" w:evenVBand="0" w:oddHBand="0" w:evenHBand="0" w:firstRowFirstColumn="0" w:firstRowLastColumn="0" w:lastRowFirstColumn="0" w:lastRowLastColumn="0"/>
          <w:cantSplit/>
          <w:trHeight w:val="610"/>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0C4989" w:rsidRPr="00ED3991" w:rsidRDefault="000C4989" w:rsidP="00132535">
            <w:pPr>
              <w:autoSpaceDE w:val="0"/>
              <w:autoSpaceDN w:val="0"/>
              <w:adjustRightInd w:val="0"/>
              <w:rPr>
                <w:rFonts w:eastAsiaTheme="minorHAnsi" w:cs="Calibri"/>
                <w:color w:val="000000"/>
                <w:szCs w:val="20"/>
              </w:rPr>
            </w:pPr>
            <w:r w:rsidRPr="00ED3991">
              <w:rPr>
                <w:rFonts w:eastAsiaTheme="minorHAnsi" w:cs="Calibri"/>
                <w:color w:val="000000"/>
                <w:szCs w:val="20"/>
              </w:rPr>
              <w:t>Text:</w:t>
            </w:r>
          </w:p>
          <w:p w:rsidR="000C4989" w:rsidRPr="000C4989" w:rsidRDefault="000C4989" w:rsidP="000C4989">
            <w:pPr>
              <w:autoSpaceDE w:val="0"/>
              <w:autoSpaceDN w:val="0"/>
              <w:adjustRightInd w:val="0"/>
              <w:rPr>
                <w:rFonts w:ascii="Calibri" w:eastAsiaTheme="minorHAnsi" w:hAnsi="Calibri" w:cs="Calibri"/>
                <w:color w:val="000000"/>
                <w:szCs w:val="20"/>
              </w:rPr>
            </w:pPr>
            <w:r w:rsidRPr="000C4989">
              <w:rPr>
                <w:rFonts w:ascii="Calibri" w:eastAsiaTheme="minorHAnsi" w:hAnsi="Calibri" w:cs="Calibri"/>
                <w:color w:val="003C6F"/>
                <w:szCs w:val="20"/>
              </w:rPr>
              <w:t xml:space="preserve">Recommendation 4: Continue to promote nationwide strategies that further the exchange of electronic health information to improve interoperability, usability, and reduce burden. </w:t>
            </w:r>
          </w:p>
          <w:p w:rsidR="000C4989" w:rsidRPr="000C4989" w:rsidRDefault="000C4989" w:rsidP="000C4989">
            <w:pPr>
              <w:rPr>
                <w:rFonts w:eastAsiaTheme="minorHAnsi"/>
                <w:b w:val="0"/>
              </w:rPr>
            </w:pPr>
            <w:r w:rsidRPr="000C4989">
              <w:rPr>
                <w:rFonts w:eastAsiaTheme="minorHAnsi"/>
                <w:b w:val="0"/>
              </w:rPr>
              <w:t>True interoperability as defined by the 21</w:t>
            </w:r>
            <w:r w:rsidRPr="000C4989">
              <w:rPr>
                <w:rFonts w:eastAsiaTheme="minorHAnsi"/>
                <w:b w:val="0"/>
                <w:sz w:val="14"/>
                <w:szCs w:val="14"/>
              </w:rPr>
              <w:t xml:space="preserve">st </w:t>
            </w:r>
            <w:r w:rsidRPr="000C4989">
              <w:rPr>
                <w:rFonts w:eastAsiaTheme="minorHAnsi"/>
                <w:b w:val="0"/>
              </w:rPr>
              <w:t>Century Cures Act, “enables the secure exchange of electronic health information with, and use of electronic health information from, other health information technology without special effort on the part of the user.”</w:t>
            </w:r>
            <w:r w:rsidRPr="000C4989">
              <w:rPr>
                <w:rFonts w:eastAsiaTheme="minorHAnsi"/>
                <w:b w:val="0"/>
                <w:sz w:val="14"/>
                <w:szCs w:val="14"/>
              </w:rPr>
              <w:t xml:space="preserve">129 </w:t>
            </w:r>
            <w:r w:rsidRPr="000C4989">
              <w:rPr>
                <w:rFonts w:eastAsiaTheme="minorHAnsi"/>
                <w:b w:val="0"/>
              </w:rPr>
              <w:t>In practice, this means that clinical notes, imaging orders</w:t>
            </w:r>
            <w:r w:rsidRPr="00523D60">
              <w:rPr>
                <w:rFonts w:eastAsiaTheme="minorHAnsi"/>
                <w:b w:val="0"/>
              </w:rPr>
              <w:t>, laboratory orders,</w:t>
            </w:r>
            <w:r w:rsidRPr="000C4989">
              <w:rPr>
                <w:rFonts w:eastAsiaTheme="minorHAnsi"/>
                <w:b w:val="0"/>
              </w:rPr>
              <w:t xml:space="preserve"> and other clinical information should be easily – and securely – available for review within EHR interfaces without requiring the clinician to log into another system. Health care developers can continue efforts to conform to relevant standards pursuant to ONC and CMS policies. Since the passage of the 21</w:t>
            </w:r>
            <w:r w:rsidRPr="000C4989">
              <w:rPr>
                <w:rFonts w:eastAsiaTheme="minorHAnsi"/>
                <w:b w:val="0"/>
                <w:sz w:val="14"/>
                <w:szCs w:val="14"/>
              </w:rPr>
              <w:t xml:space="preserve">st </w:t>
            </w:r>
            <w:r w:rsidRPr="000C4989">
              <w:rPr>
                <w:rFonts w:eastAsiaTheme="minorHAnsi"/>
                <w:b w:val="0"/>
              </w:rPr>
              <w:t>Century Cures Act, HHS and other federal partners have worked to implement provisions around interoperability, such as proposing a framework for trusted exchange among health information networks</w:t>
            </w:r>
            <w:r w:rsidRPr="000C4989">
              <w:rPr>
                <w:rFonts w:eastAsiaTheme="minorHAnsi"/>
                <w:b w:val="0"/>
                <w:sz w:val="14"/>
                <w:szCs w:val="14"/>
              </w:rPr>
              <w:t xml:space="preserve">130 </w:t>
            </w:r>
            <w:r w:rsidRPr="000C4989">
              <w:rPr>
                <w:rFonts w:eastAsiaTheme="minorHAnsi"/>
                <w:b w:val="0"/>
              </w:rPr>
              <w:t>and improving the effectiveness of ONC’s Health IT Certification Program.</w:t>
            </w:r>
          </w:p>
        </w:tc>
      </w:tr>
      <w:tr w:rsidR="000C4989" w:rsidRPr="00517D5D" w:rsidTr="00132535">
        <w:trPr>
          <w:cnfStyle w:val="100000000000" w:firstRow="1" w:lastRow="0" w:firstColumn="0" w:lastColumn="0" w:oddVBand="0" w:evenVBand="0" w:oddHBand="0" w:evenHBand="0" w:firstRowFirstColumn="0" w:firstRowLastColumn="0" w:lastRowFirstColumn="0" w:lastRowLastColumn="0"/>
          <w:cantSplit/>
          <w:trHeight w:val="691"/>
          <w:tblHeader/>
          <w:jc w:val="cent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0C4989" w:rsidRPr="00ED3991" w:rsidRDefault="000C4989" w:rsidP="00132535">
            <w:pPr>
              <w:spacing w:before="40" w:after="60" w:line="276" w:lineRule="auto"/>
              <w:rPr>
                <w:szCs w:val="20"/>
              </w:rPr>
            </w:pPr>
            <w:r w:rsidRPr="00ED3991">
              <w:rPr>
                <w:bCs w:val="0"/>
                <w:szCs w:val="20"/>
              </w:rPr>
              <w:t>Comment:</w:t>
            </w:r>
          </w:p>
          <w:p w:rsidR="0090763E" w:rsidRPr="00523D60" w:rsidRDefault="00B55778" w:rsidP="000C4989">
            <w:pPr>
              <w:rPr>
                <w:rFonts w:eastAsiaTheme="minorHAnsi"/>
                <w:b w:val="0"/>
              </w:rPr>
            </w:pPr>
            <w:r w:rsidRPr="00B55778">
              <w:rPr>
                <w:rFonts w:eastAsiaTheme="minorHAnsi"/>
                <w:b w:val="0"/>
              </w:rPr>
              <w:t>We support this goal.</w:t>
            </w:r>
          </w:p>
        </w:tc>
      </w:tr>
    </w:tbl>
    <w:p w:rsidR="000C4989" w:rsidRPr="00ED3991" w:rsidRDefault="000C4989" w:rsidP="009033AE">
      <w:pPr>
        <w:rPr>
          <w:szCs w:val="20"/>
        </w:rPr>
      </w:pPr>
    </w:p>
    <w:sectPr w:rsidR="000C4989" w:rsidRPr="00ED3991" w:rsidSect="00523D60">
      <w:headerReference w:type="default" r:id="rId16"/>
      <w:footerReference w:type="defaul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385" w:rsidRDefault="000E0385" w:rsidP="00191B24">
      <w:pPr>
        <w:spacing w:after="0" w:line="240" w:lineRule="auto"/>
      </w:pPr>
      <w:r>
        <w:separator/>
      </w:r>
    </w:p>
  </w:endnote>
  <w:endnote w:type="continuationSeparator" w:id="0">
    <w:p w:rsidR="000E0385" w:rsidRDefault="000E0385" w:rsidP="00191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SmBd">
    <w:altName w:val="Minion Pro SmBd"/>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860017"/>
      <w:docPartObj>
        <w:docPartGallery w:val="Page Numbers (Bottom of Page)"/>
        <w:docPartUnique/>
      </w:docPartObj>
    </w:sdtPr>
    <w:sdtEndPr/>
    <w:sdtContent>
      <w:sdt>
        <w:sdtPr>
          <w:id w:val="-1669238322"/>
          <w:docPartObj>
            <w:docPartGallery w:val="Page Numbers (Top of Page)"/>
            <w:docPartUnique/>
          </w:docPartObj>
        </w:sdtPr>
        <w:sdtEndPr/>
        <w:sdtContent>
          <w:p w:rsidR="003E6E42" w:rsidRDefault="003E6E42" w:rsidP="009C58D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A39A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39A8">
              <w:rPr>
                <w:b/>
                <w:bCs/>
                <w:noProof/>
              </w:rPr>
              <w:t>10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385" w:rsidRDefault="000E0385" w:rsidP="00191B24">
      <w:pPr>
        <w:spacing w:after="0" w:line="240" w:lineRule="auto"/>
      </w:pPr>
      <w:r>
        <w:separator/>
      </w:r>
    </w:p>
  </w:footnote>
  <w:footnote w:type="continuationSeparator" w:id="0">
    <w:p w:rsidR="000E0385" w:rsidRDefault="000E0385" w:rsidP="00191B24">
      <w:pPr>
        <w:spacing w:after="0" w:line="240" w:lineRule="auto"/>
      </w:pPr>
      <w:r>
        <w:continuationSeparator/>
      </w:r>
    </w:p>
  </w:footnote>
  <w:footnote w:id="1">
    <w:p w:rsidR="009E53DD" w:rsidRPr="009E53DD" w:rsidRDefault="009E53DD" w:rsidP="009E53DD">
      <w:pPr>
        <w:pStyle w:val="FootnoteText"/>
        <w:rPr>
          <w:rFonts w:asciiTheme="minorHAnsi" w:hAnsiTheme="minorHAnsi"/>
        </w:rPr>
      </w:pPr>
      <w:r>
        <w:rPr>
          <w:rStyle w:val="FootnoteReference"/>
        </w:rPr>
        <w:footnoteRef/>
      </w:r>
      <w:r>
        <w:t xml:space="preserve"> </w:t>
      </w:r>
      <w:r w:rsidRPr="009E53DD">
        <w:rPr>
          <w:rFonts w:asciiTheme="minorHAnsi" w:hAnsiTheme="minorHAnsi"/>
        </w:rPr>
        <w:t>D</w:t>
      </w:r>
      <w:r w:rsidR="004C43D7">
        <w:rPr>
          <w:rFonts w:asciiTheme="minorHAnsi" w:hAnsiTheme="minorHAnsi"/>
        </w:rPr>
        <w:t>epartment of Health and Human Services</w:t>
      </w:r>
      <w:r w:rsidRPr="009E53DD">
        <w:rPr>
          <w:rFonts w:asciiTheme="minorHAnsi" w:hAnsiTheme="minorHAnsi"/>
        </w:rPr>
        <w:t>; Centers for Medicare &amp; Medicaid Services; 42 CFR Part 493, [CMS–3326–NC], RIN 0938–ZB40; Request for Information: Revisions to Personnel Regulations, Proficiency Testing Referral, Histocompatibility Regulations and Fee Regulations Under the Clinical Laboratory Improvement Amendments of 1988 (CLIA)</w:t>
      </w:r>
    </w:p>
  </w:footnote>
  <w:footnote w:id="2">
    <w:p w:rsidR="00CB4AC3" w:rsidRPr="009E53DD" w:rsidRDefault="00CB4AC3" w:rsidP="00CB4AC3">
      <w:pPr>
        <w:pStyle w:val="FootnoteText"/>
        <w:rPr>
          <w:rFonts w:asciiTheme="minorHAnsi" w:hAnsiTheme="minorHAnsi"/>
        </w:rPr>
      </w:pPr>
      <w:r w:rsidRPr="009E53DD">
        <w:rPr>
          <w:rStyle w:val="FootnoteReference"/>
          <w:rFonts w:asciiTheme="minorHAnsi" w:hAnsiTheme="minorHAnsi"/>
        </w:rPr>
        <w:footnoteRef/>
      </w:r>
      <w:r w:rsidRPr="009E53DD">
        <w:rPr>
          <w:rFonts w:asciiTheme="minorHAnsi" w:hAnsiTheme="minorHAnsi"/>
        </w:rPr>
        <w:t xml:space="preserve"> </w:t>
      </w:r>
      <w:hyperlink r:id="rId1" w:history="1">
        <w:r w:rsidRPr="009E53DD">
          <w:rPr>
            <w:rStyle w:val="Hyperlink"/>
            <w:rFonts w:asciiTheme="minorHAnsi" w:eastAsiaTheme="majorEastAsia" w:hAnsiTheme="minorHAnsi"/>
          </w:rPr>
          <w:t>https://www.congress.gov/114/plaws/publ255/PLAW-114publ255.pdf</w:t>
        </w:r>
      </w:hyperlink>
      <w:r w:rsidRPr="009E53DD">
        <w:rPr>
          <w:rFonts w:asciiTheme="minorHAnsi" w:hAnsiTheme="minorHAnsi"/>
        </w:rPr>
        <w:t xml:space="preserve"> </w:t>
      </w:r>
    </w:p>
  </w:footnote>
  <w:footnote w:id="3">
    <w:p w:rsidR="00CB4AC3" w:rsidRPr="009E53DD" w:rsidRDefault="00CB4AC3" w:rsidP="00CB4AC3">
      <w:pPr>
        <w:pStyle w:val="FootnoteText"/>
        <w:rPr>
          <w:rFonts w:asciiTheme="minorHAnsi" w:hAnsiTheme="minorHAnsi"/>
        </w:rPr>
      </w:pPr>
      <w:r w:rsidRPr="009E53DD">
        <w:rPr>
          <w:rStyle w:val="FootnoteReference"/>
          <w:rFonts w:asciiTheme="minorHAnsi" w:hAnsiTheme="minorHAnsi"/>
        </w:rPr>
        <w:footnoteRef/>
      </w:r>
      <w:r w:rsidRPr="009E53DD">
        <w:rPr>
          <w:rFonts w:asciiTheme="minorHAnsi" w:hAnsiTheme="minorHAnsi"/>
        </w:rPr>
        <w:t xml:space="preserve"> §4001, §13103, (a) REDUCTION IN BURDENS GOAL, (1)… relating to the use of electronic health records</w:t>
      </w:r>
    </w:p>
  </w:footnote>
  <w:footnote w:id="4">
    <w:p w:rsidR="00CB4AC3" w:rsidRPr="009E53DD" w:rsidRDefault="00CB4AC3" w:rsidP="00CB4AC3">
      <w:pPr>
        <w:pStyle w:val="FootnoteText"/>
        <w:rPr>
          <w:rFonts w:asciiTheme="minorHAnsi" w:hAnsiTheme="minorHAnsi"/>
        </w:rPr>
      </w:pPr>
      <w:r w:rsidRPr="009E53DD">
        <w:rPr>
          <w:rStyle w:val="FootnoteReference"/>
          <w:rFonts w:asciiTheme="minorHAnsi" w:hAnsiTheme="minorHAnsi"/>
        </w:rPr>
        <w:footnoteRef/>
      </w:r>
      <w:r w:rsidRPr="009E53DD">
        <w:rPr>
          <w:rFonts w:asciiTheme="minorHAnsi" w:hAnsiTheme="minorHAnsi"/>
        </w:rPr>
        <w:t xml:space="preserve"> §4003. INTEROPERABILITY</w:t>
      </w:r>
    </w:p>
  </w:footnote>
  <w:footnote w:id="5">
    <w:p w:rsidR="00CB4AC3" w:rsidRDefault="00CB4AC3" w:rsidP="00CB4AC3">
      <w:pPr>
        <w:pStyle w:val="FootnoteText"/>
      </w:pPr>
      <w:r w:rsidRPr="009E53DD">
        <w:rPr>
          <w:rStyle w:val="FootnoteReference"/>
          <w:rFonts w:asciiTheme="minorHAnsi" w:hAnsiTheme="minorHAnsi"/>
        </w:rPr>
        <w:footnoteRef/>
      </w:r>
      <w:r w:rsidRPr="009E53DD">
        <w:rPr>
          <w:rFonts w:asciiTheme="minorHAnsi" w:hAnsiTheme="minorHAnsi"/>
        </w:rPr>
        <w:t xml:space="preserve"> </w:t>
      </w:r>
      <w:hyperlink r:id="rId2" w:history="1">
        <w:r w:rsidRPr="009E53DD">
          <w:rPr>
            <w:rStyle w:val="Hyperlink"/>
            <w:rFonts w:asciiTheme="minorHAnsi" w:eastAsiaTheme="majorEastAsia" w:hAnsiTheme="minorHAnsi"/>
          </w:rPr>
          <w:t>https://www.healthit.gov/buzz-blog/tag/clia/</w:t>
        </w:r>
      </w:hyperlink>
    </w:p>
  </w:footnote>
  <w:footnote w:id="6">
    <w:p w:rsidR="00CB4AC3" w:rsidRDefault="00CB4AC3" w:rsidP="00CB4AC3">
      <w:pPr>
        <w:pStyle w:val="FootnoteText"/>
      </w:pPr>
      <w:r>
        <w:rPr>
          <w:rStyle w:val="FootnoteReference"/>
        </w:rPr>
        <w:footnoteRef/>
      </w:r>
      <w:r>
        <w:t xml:space="preserve"> </w:t>
      </w:r>
      <w:r w:rsidRPr="009D72A3">
        <w:t>S&amp;C-10-12-CLIA</w:t>
      </w:r>
      <w:r>
        <w:t xml:space="preserve"> FAQ Page 15</w:t>
      </w:r>
    </w:p>
  </w:footnote>
  <w:footnote w:id="7">
    <w:p w:rsidR="00CB4AC3" w:rsidRDefault="00CB4AC3" w:rsidP="00CB4AC3">
      <w:pPr>
        <w:pStyle w:val="FootnoteText"/>
      </w:pPr>
      <w:r>
        <w:rPr>
          <w:rStyle w:val="FootnoteReference"/>
        </w:rPr>
        <w:footnoteRef/>
      </w:r>
      <w:r>
        <w:t xml:space="preserve"> </w:t>
      </w:r>
      <w:hyperlink r:id="rId3" w:history="1">
        <w:r w:rsidRPr="00554FD0">
          <w:rPr>
            <w:rStyle w:val="Hyperlink"/>
            <w:rFonts w:eastAsiaTheme="majorEastAsia"/>
          </w:rPr>
          <w:t>https://oncprojectracking.healthit.gov/wiki/display/TechLabSC/Lab+US+Realm</w:t>
        </w:r>
      </w:hyperlink>
    </w:p>
  </w:footnote>
  <w:footnote w:id="8">
    <w:p w:rsidR="00CB4AC3" w:rsidRDefault="00CB4AC3" w:rsidP="00CB4AC3">
      <w:pPr>
        <w:pStyle w:val="FootnoteText"/>
      </w:pPr>
      <w:r>
        <w:rPr>
          <w:rStyle w:val="FootnoteReference"/>
        </w:rPr>
        <w:footnoteRef/>
      </w:r>
      <w:r>
        <w:t xml:space="preserve"> Re: levels of specificity, a standard is like going to the grocery store to get ingredients to make a cake; the cake produced could be slightly (or radically) different for each baker.  An implementation guide is like following a recipe with exact ingredients and baking time; the cakes produced from the same recipe should all be comparable.</w:t>
      </w:r>
    </w:p>
  </w:footnote>
  <w:footnote w:id="9">
    <w:p w:rsidR="00CB4AC3" w:rsidRDefault="00CB4AC3" w:rsidP="00CB4AC3">
      <w:pPr>
        <w:pStyle w:val="FootnoteText"/>
      </w:pPr>
      <w:r>
        <w:rPr>
          <w:rStyle w:val="FootnoteReference"/>
        </w:rPr>
        <w:footnoteRef/>
      </w:r>
      <w:r>
        <w:t xml:space="preserve"> </w:t>
      </w:r>
      <w:hyperlink r:id="rId4" w:history="1">
        <w:r w:rsidRPr="00554FD0">
          <w:rPr>
            <w:rStyle w:val="Hyperlink"/>
            <w:rFonts w:eastAsiaTheme="majorEastAsia"/>
          </w:rPr>
          <w:t>http://hl7v2-lab-testing.nist.gov/mu-lab/</w:t>
        </w:r>
      </w:hyperlink>
    </w:p>
  </w:footnote>
  <w:footnote w:id="10">
    <w:p w:rsidR="00CB4AC3" w:rsidRDefault="00CB4AC3" w:rsidP="00CB4AC3">
      <w:pPr>
        <w:autoSpaceDE w:val="0"/>
        <w:autoSpaceDN w:val="0"/>
        <w:adjustRightInd w:val="0"/>
        <w:spacing w:after="0" w:line="240" w:lineRule="auto"/>
      </w:pPr>
      <w:r>
        <w:rPr>
          <w:rStyle w:val="FootnoteReference"/>
        </w:rPr>
        <w:footnoteRef/>
      </w:r>
      <w:r>
        <w:t xml:space="preserve"> </w:t>
      </w:r>
      <w:r w:rsidRPr="00003966">
        <w:rPr>
          <w:szCs w:val="20"/>
        </w:rPr>
        <w:t xml:space="preserve">2012-09-04 </w:t>
      </w:r>
      <w:r w:rsidRPr="00003966">
        <w:rPr>
          <w:rFonts w:cs="Helvetica-Bold"/>
          <w:bCs/>
          <w:szCs w:val="20"/>
        </w:rPr>
        <w:t>Health Information Technology: Standards, Implementation Specifications, and Certification Criteria for Electronic Health Record Technology, 2014 Edition; Revisions to the Permanent Certification Program for Health Information Technology</w:t>
      </w:r>
      <w:r>
        <w:rPr>
          <w:rFonts w:cs="Helvetica-Bold"/>
          <w:bCs/>
          <w:szCs w:val="20"/>
        </w:rPr>
        <w:t xml:space="preserve"> Final Rule</w:t>
      </w:r>
      <w:r w:rsidRPr="00003966">
        <w:rPr>
          <w:rFonts w:cs="Helvetica-Bold"/>
          <w:bCs/>
          <w:szCs w:val="20"/>
        </w:rPr>
        <w:t xml:space="preserve">, </w:t>
      </w:r>
      <w:r w:rsidRPr="00003966">
        <w:rPr>
          <w:rFonts w:eastAsiaTheme="minorHAnsi" w:cs="Melior"/>
          <w:szCs w:val="20"/>
          <w:u w:val="single"/>
        </w:rPr>
        <w:t>HL7 Version 2.5.1 Implementation Guide: S&amp;I Framework Lab Results Interface</w:t>
      </w:r>
      <w:r>
        <w:rPr>
          <w:rFonts w:eastAsiaTheme="minorHAnsi" w:cs="Melior"/>
          <w:szCs w:val="20"/>
          <w:u w:val="single"/>
        </w:rPr>
        <w:t xml:space="preserve"> (LRI)</w:t>
      </w:r>
      <w:r w:rsidRPr="00003966">
        <w:rPr>
          <w:rFonts w:eastAsiaTheme="minorHAnsi" w:cs="Melior"/>
          <w:szCs w:val="20"/>
        </w:rPr>
        <w:t>.</w:t>
      </w:r>
    </w:p>
  </w:footnote>
  <w:footnote w:id="11">
    <w:p w:rsidR="00CB4AC3" w:rsidRDefault="00CB4AC3" w:rsidP="00CB4AC3">
      <w:pPr>
        <w:pStyle w:val="FootnoteText"/>
      </w:pPr>
      <w:r>
        <w:rPr>
          <w:rStyle w:val="FootnoteReference"/>
        </w:rPr>
        <w:footnoteRef/>
      </w:r>
      <w:r>
        <w:t xml:space="preserve"> </w:t>
      </w:r>
      <w:hyperlink r:id="rId5" w:history="1">
        <w:r w:rsidRPr="004113CE">
          <w:rPr>
            <w:rStyle w:val="Hyperlink"/>
            <w:rFonts w:eastAsiaTheme="majorEastAsia"/>
          </w:rPr>
          <w:t>http://www.hl7.org/implement/standards/product_brief.cfm?product_id=279</w:t>
        </w:r>
      </w:hyperlink>
    </w:p>
  </w:footnote>
  <w:footnote w:id="12">
    <w:p w:rsidR="00CB4AC3" w:rsidRDefault="00CB4AC3" w:rsidP="00CB4AC3">
      <w:pPr>
        <w:pStyle w:val="FootnoteText"/>
      </w:pPr>
      <w:r>
        <w:rPr>
          <w:rStyle w:val="FootnoteReference"/>
        </w:rPr>
        <w:footnoteRef/>
      </w:r>
      <w:r>
        <w:t xml:space="preserve"> </w:t>
      </w:r>
      <w:hyperlink r:id="rId6" w:anchor="493.1291" w:history="1">
        <w:r w:rsidRPr="00554FD0">
          <w:rPr>
            <w:rStyle w:val="Hyperlink"/>
            <w:rFonts w:eastAsiaTheme="majorEastAsia"/>
          </w:rPr>
          <w:t>http://wwwn.cdc.gov/clia/regs/subpart_k.aspx#493.1291</w:t>
        </w:r>
      </w:hyperlink>
    </w:p>
  </w:footnote>
  <w:footnote w:id="13">
    <w:p w:rsidR="00B20596" w:rsidRDefault="00B20596">
      <w:pPr>
        <w:pStyle w:val="FootnoteText"/>
      </w:pPr>
      <w:r>
        <w:rPr>
          <w:rStyle w:val="FootnoteReference"/>
        </w:rPr>
        <w:footnoteRef/>
      </w:r>
      <w:r>
        <w:t xml:space="preserve"> Footnote 47: RAND Corporation. Research Report: Factors Affecting Physician Professional Satisfaction and Their Implications for Patient Care, Health Systems, and Health Policy. 2013.  </w:t>
      </w:r>
    </w:p>
  </w:footnote>
  <w:footnote w:id="14">
    <w:p w:rsidR="009238AB" w:rsidRDefault="009238AB">
      <w:pPr>
        <w:pStyle w:val="FootnoteText"/>
      </w:pPr>
      <w:r>
        <w:rPr>
          <w:rStyle w:val="FootnoteReference"/>
        </w:rPr>
        <w:footnoteRef/>
      </w:r>
      <w:r>
        <w:t xml:space="preserve"> Footnote 48: ECRI Institute. Partnership for Health IT Patient Safety Health IT Safe Practices: Toolkit for the Safe Use of Copy and Paste. 2016. Available at: </w:t>
      </w:r>
      <w:r w:rsidRPr="00DB47F6">
        <w:rPr>
          <w:color w:val="000000" w:themeColor="text1"/>
        </w:rPr>
        <w:t xml:space="preserve">https://www.ecri.org/Resources/HIT/CP_Toolkit/Toolkit_CopyPaste_final.pdf  </w:t>
      </w:r>
    </w:p>
  </w:footnote>
  <w:footnote w:id="15">
    <w:p w:rsidR="00985DB0" w:rsidRDefault="00985DB0">
      <w:pPr>
        <w:pStyle w:val="FootnoteText"/>
      </w:pPr>
      <w:r>
        <w:rPr>
          <w:rStyle w:val="FootnoteReference"/>
        </w:rPr>
        <w:footnoteRef/>
      </w:r>
      <w:r>
        <w:t xml:space="preserve"> Footnote 107: </w:t>
      </w:r>
      <w:r>
        <w:rPr>
          <w:sz w:val="13"/>
          <w:szCs w:val="13"/>
        </w:rPr>
        <w:t xml:space="preserve">107 </w:t>
      </w:r>
      <w:r>
        <w:t xml:space="preserve">Middleton B, et al. Enhancing Patient Safety and Quality of Care by Improving the Usability of Electronic Health Record Systems: Recommendations from AMIA. J Am Med Inform Assoc. 2013;20:e2-8.  </w:t>
      </w:r>
    </w:p>
  </w:footnote>
  <w:footnote w:id="16">
    <w:p w:rsidR="00985DB0" w:rsidRDefault="00985DB0">
      <w:pPr>
        <w:pStyle w:val="FootnoteText"/>
      </w:pPr>
      <w:r>
        <w:rPr>
          <w:rStyle w:val="FootnoteReference"/>
        </w:rPr>
        <w:footnoteRef/>
      </w:r>
      <w:r>
        <w:t xml:space="preserve"> Footnote 10</w:t>
      </w:r>
      <w:r w:rsidR="00646D4C">
        <w:t>8</w:t>
      </w:r>
      <w:r>
        <w:t xml:space="preserve">: </w:t>
      </w:r>
      <w:r>
        <w:rPr>
          <w:sz w:val="13"/>
          <w:szCs w:val="13"/>
        </w:rPr>
        <w:t xml:space="preserve">108 </w:t>
      </w:r>
      <w:r>
        <w:t xml:space="preserve"> Electronic Health Records Association. Design Patterns for Patient Safety. 2017. Available at: </w:t>
      </w:r>
      <w:bookmarkStart w:id="0" w:name="_GoBack"/>
      <w:r w:rsidRPr="00EA39A8">
        <w:rPr>
          <w:color w:val="000000" w:themeColor="text1"/>
        </w:rPr>
        <w:t xml:space="preserve">http://www.himss.org/sites/himssorg/files/ehra-design-patterns-for-safety.pdf  </w:t>
      </w:r>
      <w:bookmarkEnd w:id="0"/>
    </w:p>
  </w:footnote>
  <w:footnote w:id="17">
    <w:p w:rsidR="00A66743" w:rsidRDefault="00A66743">
      <w:pPr>
        <w:pStyle w:val="FootnoteText"/>
      </w:pPr>
      <w:r>
        <w:rPr>
          <w:rStyle w:val="FootnoteReference"/>
        </w:rPr>
        <w:footnoteRef/>
      </w:r>
      <w:r>
        <w:t xml:space="preserve"> Footnote 117: </w:t>
      </w:r>
      <w:r>
        <w:rPr>
          <w:sz w:val="13"/>
          <w:szCs w:val="13"/>
        </w:rPr>
        <w:t xml:space="preserve">117 </w:t>
      </w:r>
      <w:r>
        <w:t xml:space="preserve">Belden J, et al. Inspired EHRs: Make It Easy to Find the Right Orders. Curators of the University of Missouri. 2014. Available at: </w:t>
      </w:r>
      <w:r w:rsidRPr="000C61F4">
        <w:rPr>
          <w:color w:val="000000" w:themeColor="text1"/>
        </w:rPr>
        <w:t xml:space="preserve">http://inspiredehrs.org/designing-for-clinicians/e-prescribing.php  </w:t>
      </w:r>
    </w:p>
  </w:footnote>
  <w:footnote w:id="18">
    <w:p w:rsidR="00A66743" w:rsidRDefault="00A66743">
      <w:pPr>
        <w:pStyle w:val="FootnoteText"/>
      </w:pPr>
      <w:r>
        <w:rPr>
          <w:rStyle w:val="FootnoteReference"/>
        </w:rPr>
        <w:footnoteRef/>
      </w:r>
      <w:r>
        <w:t xml:space="preserve"> Footnote 118: </w:t>
      </w:r>
      <w:r>
        <w:rPr>
          <w:sz w:val="13"/>
          <w:szCs w:val="13"/>
        </w:rPr>
        <w:t xml:space="preserve">118 </w:t>
      </w:r>
      <w:r w:rsidRPr="00A66743">
        <w:t xml:space="preserve">Ibid.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42" w:rsidRPr="00593DDA" w:rsidRDefault="003E6E42" w:rsidP="009033AE">
    <w:pPr>
      <w:pStyle w:val="NoSpacing"/>
    </w:pPr>
    <w:r w:rsidRPr="00593DDA">
      <w:t>Agency:  Department of Health and Human Services</w:t>
    </w:r>
    <w:r w:rsidR="000F71CC">
      <w:t xml:space="preserve"> (DHHS)</w:t>
    </w:r>
    <w:r w:rsidRPr="00593DDA">
      <w:t xml:space="preserve">; </w:t>
    </w:r>
    <w:r w:rsidR="00A376A7">
      <w:t>Office of National Coordinator (ONC)</w:t>
    </w:r>
  </w:p>
  <w:p w:rsidR="00A376A7" w:rsidRPr="00110E62" w:rsidRDefault="003E6E42" w:rsidP="00A376A7">
    <w:pPr>
      <w:rPr>
        <w:szCs w:val="20"/>
        <w:bdr w:val="none" w:sz="0" w:space="0" w:color="auto" w:frame="1"/>
      </w:rPr>
    </w:pPr>
    <w:r w:rsidRPr="00593DDA">
      <w:t xml:space="preserve">Title:  </w:t>
    </w:r>
    <w:r w:rsidR="00A376A7" w:rsidRPr="00110E62">
      <w:rPr>
        <w:szCs w:val="20"/>
      </w:rPr>
      <w:t>Strategy on Reducing Regulatory and Administrative Burden Relating to the Use of Health IT and EHRs</w:t>
    </w:r>
  </w:p>
  <w:p w:rsidR="003E6E42" w:rsidRPr="00C7220C" w:rsidRDefault="003E6E42" w:rsidP="008C4470">
    <w:pPr>
      <w:autoSpaceDE w:val="0"/>
      <w:autoSpaceDN w:val="0"/>
      <w:adjustRightInd w:val="0"/>
      <w:spacing w:after="0" w:line="240" w:lineRule="auto"/>
      <w:rPr>
        <w:b/>
      </w:rPr>
    </w:pPr>
    <w:r w:rsidRPr="000C732B">
      <w:rPr>
        <w:b/>
      </w:rPr>
      <w:object w:dxaOrig="11050" w:dyaOrig="13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656.25pt" o:ole="">
          <v:imagedata r:id="rId1" o:title=""/>
        </v:shape>
        <o:OLEObject Type="Embed" ProgID="Word.Document.12" ShapeID="_x0000_i1025" DrawAspect="Content" ObjectID="_1608990291" r:id="rId2">
          <o:FieldCodes>\s</o:FieldCodes>
        </o:OLEObject>
      </w:object>
    </w:r>
  </w:p>
  <w:p w:rsidR="003E6E42" w:rsidRDefault="003E6E42" w:rsidP="00C7220C">
    <w:pPr>
      <w:pStyle w:val="Header"/>
      <w:jc w:val="center"/>
      <w:rPr>
        <w:b/>
      </w:rPr>
    </w:pPr>
    <w:r w:rsidRPr="00C7220C">
      <w:rPr>
        <w:b/>
      </w:rPr>
      <w:t xml:space="preserve">Release Date:   </w:t>
    </w:r>
  </w:p>
  <w:p w:rsidR="003E6E42" w:rsidRPr="00C7220C" w:rsidRDefault="003E6E42" w:rsidP="00C7220C">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0673"/>
    <w:multiLevelType w:val="hybridMultilevel"/>
    <w:tmpl w:val="67582B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1D4939"/>
    <w:multiLevelType w:val="hybridMultilevel"/>
    <w:tmpl w:val="8D4C46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F3736B"/>
    <w:multiLevelType w:val="hybridMultilevel"/>
    <w:tmpl w:val="83FA9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737902"/>
    <w:multiLevelType w:val="hybridMultilevel"/>
    <w:tmpl w:val="427C242E"/>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3C1448E4">
      <w:numFmt w:val="bullet"/>
      <w:lvlText w:val="•"/>
      <w:lvlJc w:val="left"/>
      <w:pPr>
        <w:ind w:left="2520" w:hanging="360"/>
      </w:pPr>
      <w:rPr>
        <w:rFonts w:ascii="Calibri" w:eastAsiaTheme="minorHAnsi" w:hAnsi="Calibri" w:cs="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3D7C8C"/>
    <w:multiLevelType w:val="hybridMultilevel"/>
    <w:tmpl w:val="40349EBE"/>
    <w:lvl w:ilvl="0" w:tplc="F64A18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8F1CCB"/>
    <w:multiLevelType w:val="hybridMultilevel"/>
    <w:tmpl w:val="79E263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1AA2D38"/>
    <w:multiLevelType w:val="hybridMultilevel"/>
    <w:tmpl w:val="C4626B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D46E65"/>
    <w:multiLevelType w:val="hybridMultilevel"/>
    <w:tmpl w:val="BA04BC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3BD5132"/>
    <w:multiLevelType w:val="hybridMultilevel"/>
    <w:tmpl w:val="6AA6E9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CA311FD"/>
    <w:multiLevelType w:val="hybridMultilevel"/>
    <w:tmpl w:val="97B6B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6134213"/>
    <w:multiLevelType w:val="hybridMultilevel"/>
    <w:tmpl w:val="39D642C8"/>
    <w:lvl w:ilvl="0" w:tplc="F64A18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726573"/>
    <w:multiLevelType w:val="hybridMultilevel"/>
    <w:tmpl w:val="8514E92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1D42EA"/>
    <w:multiLevelType w:val="hybridMultilevel"/>
    <w:tmpl w:val="BF2211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D669D1"/>
    <w:multiLevelType w:val="hybridMultilevel"/>
    <w:tmpl w:val="7928552E"/>
    <w:lvl w:ilvl="0" w:tplc="F64A18D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1C1ACF"/>
    <w:multiLevelType w:val="hybridMultilevel"/>
    <w:tmpl w:val="99D4D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2"/>
  </w:num>
  <w:num w:numId="3">
    <w:abstractNumId w:val="7"/>
  </w:num>
  <w:num w:numId="4">
    <w:abstractNumId w:val="8"/>
  </w:num>
  <w:num w:numId="5">
    <w:abstractNumId w:val="5"/>
  </w:num>
  <w:num w:numId="6">
    <w:abstractNumId w:val="14"/>
  </w:num>
  <w:num w:numId="7">
    <w:abstractNumId w:val="6"/>
  </w:num>
  <w:num w:numId="8">
    <w:abstractNumId w:val="11"/>
  </w:num>
  <w:num w:numId="9">
    <w:abstractNumId w:val="3"/>
  </w:num>
  <w:num w:numId="10">
    <w:abstractNumId w:val="0"/>
  </w:num>
  <w:num w:numId="11">
    <w:abstractNumId w:val="10"/>
  </w:num>
  <w:num w:numId="12">
    <w:abstractNumId w:val="4"/>
  </w:num>
  <w:num w:numId="13">
    <w:abstractNumId w:val="13"/>
  </w:num>
  <w:num w:numId="14">
    <w:abstractNumId w:val="1"/>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24"/>
    <w:rsid w:val="00001AFA"/>
    <w:rsid w:val="0000345F"/>
    <w:rsid w:val="00003C4E"/>
    <w:rsid w:val="0001136B"/>
    <w:rsid w:val="000162D9"/>
    <w:rsid w:val="00017AEB"/>
    <w:rsid w:val="0002253F"/>
    <w:rsid w:val="0002358C"/>
    <w:rsid w:val="000246A7"/>
    <w:rsid w:val="00024F87"/>
    <w:rsid w:val="00025BC4"/>
    <w:rsid w:val="0003490E"/>
    <w:rsid w:val="00041846"/>
    <w:rsid w:val="00042397"/>
    <w:rsid w:val="00044C99"/>
    <w:rsid w:val="00044DCF"/>
    <w:rsid w:val="00052B9F"/>
    <w:rsid w:val="00053E28"/>
    <w:rsid w:val="0005412D"/>
    <w:rsid w:val="000573C7"/>
    <w:rsid w:val="00060B0D"/>
    <w:rsid w:val="00061014"/>
    <w:rsid w:val="000635EF"/>
    <w:rsid w:val="0006530C"/>
    <w:rsid w:val="000662F3"/>
    <w:rsid w:val="00087A32"/>
    <w:rsid w:val="00095294"/>
    <w:rsid w:val="000A3BF1"/>
    <w:rsid w:val="000B3F51"/>
    <w:rsid w:val="000C478B"/>
    <w:rsid w:val="000C4989"/>
    <w:rsid w:val="000C546C"/>
    <w:rsid w:val="000C61F4"/>
    <w:rsid w:val="000C732B"/>
    <w:rsid w:val="000D3318"/>
    <w:rsid w:val="000D58AC"/>
    <w:rsid w:val="000E0385"/>
    <w:rsid w:val="000E3F30"/>
    <w:rsid w:val="000F2A91"/>
    <w:rsid w:val="000F5A97"/>
    <w:rsid w:val="000F71CC"/>
    <w:rsid w:val="000F7386"/>
    <w:rsid w:val="001109B0"/>
    <w:rsid w:val="001220DD"/>
    <w:rsid w:val="001268E1"/>
    <w:rsid w:val="00132BFA"/>
    <w:rsid w:val="00136586"/>
    <w:rsid w:val="00147DCA"/>
    <w:rsid w:val="0016016F"/>
    <w:rsid w:val="00161267"/>
    <w:rsid w:val="001735B1"/>
    <w:rsid w:val="00180531"/>
    <w:rsid w:val="0018061B"/>
    <w:rsid w:val="001815BB"/>
    <w:rsid w:val="00191B24"/>
    <w:rsid w:val="001A03BD"/>
    <w:rsid w:val="001A6F4B"/>
    <w:rsid w:val="001A76DB"/>
    <w:rsid w:val="001C31FA"/>
    <w:rsid w:val="001D181F"/>
    <w:rsid w:val="001E079C"/>
    <w:rsid w:val="002014C3"/>
    <w:rsid w:val="00203E82"/>
    <w:rsid w:val="002056CC"/>
    <w:rsid w:val="00210309"/>
    <w:rsid w:val="00220413"/>
    <w:rsid w:val="0022126D"/>
    <w:rsid w:val="00221567"/>
    <w:rsid w:val="002218F3"/>
    <w:rsid w:val="002317D8"/>
    <w:rsid w:val="00234455"/>
    <w:rsid w:val="0023543C"/>
    <w:rsid w:val="00236951"/>
    <w:rsid w:val="0024030C"/>
    <w:rsid w:val="00240AC2"/>
    <w:rsid w:val="0024474C"/>
    <w:rsid w:val="00247BC9"/>
    <w:rsid w:val="00253B56"/>
    <w:rsid w:val="002624DC"/>
    <w:rsid w:val="00265F5D"/>
    <w:rsid w:val="0027181A"/>
    <w:rsid w:val="00274C4C"/>
    <w:rsid w:val="002811CE"/>
    <w:rsid w:val="002838E0"/>
    <w:rsid w:val="00284617"/>
    <w:rsid w:val="00285D98"/>
    <w:rsid w:val="00287335"/>
    <w:rsid w:val="0029134F"/>
    <w:rsid w:val="00293811"/>
    <w:rsid w:val="002A3798"/>
    <w:rsid w:val="002A4C32"/>
    <w:rsid w:val="002B1F56"/>
    <w:rsid w:val="002B71C9"/>
    <w:rsid w:val="002C78ED"/>
    <w:rsid w:val="002D49D0"/>
    <w:rsid w:val="002D50B4"/>
    <w:rsid w:val="002D5FAA"/>
    <w:rsid w:val="002E74EC"/>
    <w:rsid w:val="002F28C7"/>
    <w:rsid w:val="002F7401"/>
    <w:rsid w:val="00301A8A"/>
    <w:rsid w:val="00307B46"/>
    <w:rsid w:val="00314DF7"/>
    <w:rsid w:val="003151C8"/>
    <w:rsid w:val="00316271"/>
    <w:rsid w:val="00336440"/>
    <w:rsid w:val="00353A65"/>
    <w:rsid w:val="00353E27"/>
    <w:rsid w:val="003549AE"/>
    <w:rsid w:val="00381705"/>
    <w:rsid w:val="00384565"/>
    <w:rsid w:val="00396F52"/>
    <w:rsid w:val="003A0A18"/>
    <w:rsid w:val="003A369E"/>
    <w:rsid w:val="003A4EC9"/>
    <w:rsid w:val="003C033F"/>
    <w:rsid w:val="003C2E3B"/>
    <w:rsid w:val="003C5CA3"/>
    <w:rsid w:val="003C625B"/>
    <w:rsid w:val="003C7506"/>
    <w:rsid w:val="003D332B"/>
    <w:rsid w:val="003D383F"/>
    <w:rsid w:val="003D45E9"/>
    <w:rsid w:val="003E29C3"/>
    <w:rsid w:val="003E673B"/>
    <w:rsid w:val="003E6E42"/>
    <w:rsid w:val="003E6FD7"/>
    <w:rsid w:val="003E7CB9"/>
    <w:rsid w:val="003F141A"/>
    <w:rsid w:val="003F3B25"/>
    <w:rsid w:val="00404593"/>
    <w:rsid w:val="004109FE"/>
    <w:rsid w:val="004150E8"/>
    <w:rsid w:val="004225B6"/>
    <w:rsid w:val="00431BBD"/>
    <w:rsid w:val="00433CB4"/>
    <w:rsid w:val="00434048"/>
    <w:rsid w:val="004342D5"/>
    <w:rsid w:val="00436C76"/>
    <w:rsid w:val="004541A4"/>
    <w:rsid w:val="00456675"/>
    <w:rsid w:val="00462BB4"/>
    <w:rsid w:val="00481509"/>
    <w:rsid w:val="004842FE"/>
    <w:rsid w:val="00484626"/>
    <w:rsid w:val="004928F6"/>
    <w:rsid w:val="004964D3"/>
    <w:rsid w:val="004A1AA4"/>
    <w:rsid w:val="004A31F8"/>
    <w:rsid w:val="004A3247"/>
    <w:rsid w:val="004B136C"/>
    <w:rsid w:val="004B170E"/>
    <w:rsid w:val="004C43D7"/>
    <w:rsid w:val="004C5560"/>
    <w:rsid w:val="004D0367"/>
    <w:rsid w:val="004D1F3C"/>
    <w:rsid w:val="004F1B77"/>
    <w:rsid w:val="004F21FE"/>
    <w:rsid w:val="00500CC4"/>
    <w:rsid w:val="00504429"/>
    <w:rsid w:val="005049C3"/>
    <w:rsid w:val="00514657"/>
    <w:rsid w:val="00515E34"/>
    <w:rsid w:val="00516E43"/>
    <w:rsid w:val="00517D5D"/>
    <w:rsid w:val="005225A3"/>
    <w:rsid w:val="005234E2"/>
    <w:rsid w:val="00523D60"/>
    <w:rsid w:val="00527637"/>
    <w:rsid w:val="00536786"/>
    <w:rsid w:val="00541618"/>
    <w:rsid w:val="00544339"/>
    <w:rsid w:val="00544367"/>
    <w:rsid w:val="00545BDC"/>
    <w:rsid w:val="005517E3"/>
    <w:rsid w:val="00554EF8"/>
    <w:rsid w:val="00556E22"/>
    <w:rsid w:val="00563ED0"/>
    <w:rsid w:val="00564FCC"/>
    <w:rsid w:val="005739C6"/>
    <w:rsid w:val="00577C67"/>
    <w:rsid w:val="00582A9D"/>
    <w:rsid w:val="005839BA"/>
    <w:rsid w:val="0058646E"/>
    <w:rsid w:val="00587938"/>
    <w:rsid w:val="005913CE"/>
    <w:rsid w:val="00592589"/>
    <w:rsid w:val="00593DDA"/>
    <w:rsid w:val="00594CB9"/>
    <w:rsid w:val="00595F69"/>
    <w:rsid w:val="00596964"/>
    <w:rsid w:val="005A05AE"/>
    <w:rsid w:val="005A258C"/>
    <w:rsid w:val="005A34B5"/>
    <w:rsid w:val="005A401B"/>
    <w:rsid w:val="005A67F9"/>
    <w:rsid w:val="005A7FB0"/>
    <w:rsid w:val="005B337A"/>
    <w:rsid w:val="005B3774"/>
    <w:rsid w:val="005C256E"/>
    <w:rsid w:val="005C4307"/>
    <w:rsid w:val="005D4D45"/>
    <w:rsid w:val="005E7A55"/>
    <w:rsid w:val="005F0F63"/>
    <w:rsid w:val="005F1831"/>
    <w:rsid w:val="005F195A"/>
    <w:rsid w:val="005F4AF5"/>
    <w:rsid w:val="005F658A"/>
    <w:rsid w:val="0060389A"/>
    <w:rsid w:val="00615A55"/>
    <w:rsid w:val="00617E63"/>
    <w:rsid w:val="0062730B"/>
    <w:rsid w:val="006300FD"/>
    <w:rsid w:val="00646D4C"/>
    <w:rsid w:val="00651865"/>
    <w:rsid w:val="0065317C"/>
    <w:rsid w:val="006658E7"/>
    <w:rsid w:val="00667264"/>
    <w:rsid w:val="00670A52"/>
    <w:rsid w:val="006716C3"/>
    <w:rsid w:val="00681C6B"/>
    <w:rsid w:val="00684034"/>
    <w:rsid w:val="006859FE"/>
    <w:rsid w:val="00685A19"/>
    <w:rsid w:val="00686B55"/>
    <w:rsid w:val="006923D1"/>
    <w:rsid w:val="0069329A"/>
    <w:rsid w:val="006A0992"/>
    <w:rsid w:val="006A110B"/>
    <w:rsid w:val="006A485A"/>
    <w:rsid w:val="006B5316"/>
    <w:rsid w:val="006C2E01"/>
    <w:rsid w:val="006D5254"/>
    <w:rsid w:val="006D56F4"/>
    <w:rsid w:val="006E1F83"/>
    <w:rsid w:val="006E3319"/>
    <w:rsid w:val="006E7E77"/>
    <w:rsid w:val="006F4C19"/>
    <w:rsid w:val="00710252"/>
    <w:rsid w:val="00711533"/>
    <w:rsid w:val="007243DA"/>
    <w:rsid w:val="00725DF7"/>
    <w:rsid w:val="00727B5E"/>
    <w:rsid w:val="0073110E"/>
    <w:rsid w:val="00733EDE"/>
    <w:rsid w:val="00741C5D"/>
    <w:rsid w:val="00746E2F"/>
    <w:rsid w:val="00747BEC"/>
    <w:rsid w:val="00750C53"/>
    <w:rsid w:val="007610CB"/>
    <w:rsid w:val="00764C3D"/>
    <w:rsid w:val="00782524"/>
    <w:rsid w:val="00784187"/>
    <w:rsid w:val="00784B35"/>
    <w:rsid w:val="00787356"/>
    <w:rsid w:val="00791DA9"/>
    <w:rsid w:val="00795476"/>
    <w:rsid w:val="007961CE"/>
    <w:rsid w:val="007A4316"/>
    <w:rsid w:val="007A5F0C"/>
    <w:rsid w:val="007A71CD"/>
    <w:rsid w:val="007A7EDD"/>
    <w:rsid w:val="007B0DD0"/>
    <w:rsid w:val="007B1D30"/>
    <w:rsid w:val="007B67AA"/>
    <w:rsid w:val="007C473A"/>
    <w:rsid w:val="007C72CD"/>
    <w:rsid w:val="007E0661"/>
    <w:rsid w:val="007F6FF7"/>
    <w:rsid w:val="008043A3"/>
    <w:rsid w:val="00805D8E"/>
    <w:rsid w:val="00806A30"/>
    <w:rsid w:val="00806D9C"/>
    <w:rsid w:val="00850535"/>
    <w:rsid w:val="00853BA3"/>
    <w:rsid w:val="00856948"/>
    <w:rsid w:val="008601E7"/>
    <w:rsid w:val="00866BB6"/>
    <w:rsid w:val="008741B7"/>
    <w:rsid w:val="008757B2"/>
    <w:rsid w:val="00883C9A"/>
    <w:rsid w:val="00886544"/>
    <w:rsid w:val="00894A1B"/>
    <w:rsid w:val="008C199F"/>
    <w:rsid w:val="008C30A3"/>
    <w:rsid w:val="008C4470"/>
    <w:rsid w:val="008C7D59"/>
    <w:rsid w:val="008D098A"/>
    <w:rsid w:val="008D3083"/>
    <w:rsid w:val="008D6D8B"/>
    <w:rsid w:val="008E21DD"/>
    <w:rsid w:val="008E7A8D"/>
    <w:rsid w:val="008F1DBF"/>
    <w:rsid w:val="008F7C25"/>
    <w:rsid w:val="009014C6"/>
    <w:rsid w:val="00902329"/>
    <w:rsid w:val="00902BCC"/>
    <w:rsid w:val="00903369"/>
    <w:rsid w:val="009033AE"/>
    <w:rsid w:val="009038D5"/>
    <w:rsid w:val="009041D7"/>
    <w:rsid w:val="0090763E"/>
    <w:rsid w:val="009116A9"/>
    <w:rsid w:val="00917181"/>
    <w:rsid w:val="0092106A"/>
    <w:rsid w:val="00923784"/>
    <w:rsid w:val="009238AB"/>
    <w:rsid w:val="009248A3"/>
    <w:rsid w:val="0093050B"/>
    <w:rsid w:val="00947E52"/>
    <w:rsid w:val="00952F5F"/>
    <w:rsid w:val="00957D1D"/>
    <w:rsid w:val="009607B2"/>
    <w:rsid w:val="00961818"/>
    <w:rsid w:val="0096285F"/>
    <w:rsid w:val="00963CED"/>
    <w:rsid w:val="00966FFC"/>
    <w:rsid w:val="00970E26"/>
    <w:rsid w:val="00975F14"/>
    <w:rsid w:val="009825B6"/>
    <w:rsid w:val="00984115"/>
    <w:rsid w:val="00985963"/>
    <w:rsid w:val="00985DB0"/>
    <w:rsid w:val="00986FD9"/>
    <w:rsid w:val="00991A9C"/>
    <w:rsid w:val="009A04BF"/>
    <w:rsid w:val="009A1F35"/>
    <w:rsid w:val="009A308C"/>
    <w:rsid w:val="009B4AE6"/>
    <w:rsid w:val="009B6FDA"/>
    <w:rsid w:val="009C121F"/>
    <w:rsid w:val="009C58DD"/>
    <w:rsid w:val="009D1150"/>
    <w:rsid w:val="009E1706"/>
    <w:rsid w:val="009E3C1F"/>
    <w:rsid w:val="009E4277"/>
    <w:rsid w:val="009E4BFA"/>
    <w:rsid w:val="009E53DD"/>
    <w:rsid w:val="009F206B"/>
    <w:rsid w:val="00A006C4"/>
    <w:rsid w:val="00A067ED"/>
    <w:rsid w:val="00A100B4"/>
    <w:rsid w:val="00A34D5C"/>
    <w:rsid w:val="00A376A7"/>
    <w:rsid w:val="00A4292D"/>
    <w:rsid w:val="00A52A0D"/>
    <w:rsid w:val="00A55B9C"/>
    <w:rsid w:val="00A64B22"/>
    <w:rsid w:val="00A66743"/>
    <w:rsid w:val="00A66BA9"/>
    <w:rsid w:val="00A71858"/>
    <w:rsid w:val="00A74922"/>
    <w:rsid w:val="00A77488"/>
    <w:rsid w:val="00A91058"/>
    <w:rsid w:val="00A912E7"/>
    <w:rsid w:val="00AB18F7"/>
    <w:rsid w:val="00AC1A47"/>
    <w:rsid w:val="00AC1E69"/>
    <w:rsid w:val="00AC1F62"/>
    <w:rsid w:val="00AC3AA6"/>
    <w:rsid w:val="00AD6D7B"/>
    <w:rsid w:val="00AE5208"/>
    <w:rsid w:val="00AE75AE"/>
    <w:rsid w:val="00B074E3"/>
    <w:rsid w:val="00B20596"/>
    <w:rsid w:val="00B26B7D"/>
    <w:rsid w:val="00B31560"/>
    <w:rsid w:val="00B360A6"/>
    <w:rsid w:val="00B4309E"/>
    <w:rsid w:val="00B43C41"/>
    <w:rsid w:val="00B5517A"/>
    <w:rsid w:val="00B55778"/>
    <w:rsid w:val="00B71987"/>
    <w:rsid w:val="00B81485"/>
    <w:rsid w:val="00B82DBF"/>
    <w:rsid w:val="00B84C41"/>
    <w:rsid w:val="00B85131"/>
    <w:rsid w:val="00B97CEB"/>
    <w:rsid w:val="00BA2305"/>
    <w:rsid w:val="00BB05D1"/>
    <w:rsid w:val="00BB4FBD"/>
    <w:rsid w:val="00BB7DC7"/>
    <w:rsid w:val="00BC4F83"/>
    <w:rsid w:val="00BC5CBE"/>
    <w:rsid w:val="00BD0158"/>
    <w:rsid w:val="00BD4424"/>
    <w:rsid w:val="00BD57E9"/>
    <w:rsid w:val="00BE3009"/>
    <w:rsid w:val="00BE5180"/>
    <w:rsid w:val="00BF35F7"/>
    <w:rsid w:val="00C04703"/>
    <w:rsid w:val="00C0614C"/>
    <w:rsid w:val="00C122FE"/>
    <w:rsid w:val="00C1689E"/>
    <w:rsid w:val="00C21B37"/>
    <w:rsid w:val="00C27269"/>
    <w:rsid w:val="00C37EC7"/>
    <w:rsid w:val="00C45F6B"/>
    <w:rsid w:val="00C46151"/>
    <w:rsid w:val="00C60158"/>
    <w:rsid w:val="00C7220C"/>
    <w:rsid w:val="00C73A76"/>
    <w:rsid w:val="00C744B3"/>
    <w:rsid w:val="00C76D16"/>
    <w:rsid w:val="00C81FEF"/>
    <w:rsid w:val="00C912B6"/>
    <w:rsid w:val="00CA4A06"/>
    <w:rsid w:val="00CA515D"/>
    <w:rsid w:val="00CA7D63"/>
    <w:rsid w:val="00CB4AC3"/>
    <w:rsid w:val="00CD53D6"/>
    <w:rsid w:val="00CD69C2"/>
    <w:rsid w:val="00CE2D1A"/>
    <w:rsid w:val="00CF182C"/>
    <w:rsid w:val="00CF675F"/>
    <w:rsid w:val="00D01B77"/>
    <w:rsid w:val="00D0421F"/>
    <w:rsid w:val="00D227B7"/>
    <w:rsid w:val="00D22FE3"/>
    <w:rsid w:val="00D25AE1"/>
    <w:rsid w:val="00D26408"/>
    <w:rsid w:val="00D30407"/>
    <w:rsid w:val="00D319A5"/>
    <w:rsid w:val="00D31A6E"/>
    <w:rsid w:val="00D4178D"/>
    <w:rsid w:val="00D44E97"/>
    <w:rsid w:val="00D539C9"/>
    <w:rsid w:val="00D5418F"/>
    <w:rsid w:val="00D5487A"/>
    <w:rsid w:val="00D67114"/>
    <w:rsid w:val="00D72319"/>
    <w:rsid w:val="00D77882"/>
    <w:rsid w:val="00D81A35"/>
    <w:rsid w:val="00D930B6"/>
    <w:rsid w:val="00DA19F2"/>
    <w:rsid w:val="00DA26BD"/>
    <w:rsid w:val="00DB0A5C"/>
    <w:rsid w:val="00DB44F3"/>
    <w:rsid w:val="00DB4624"/>
    <w:rsid w:val="00DB47F6"/>
    <w:rsid w:val="00DB7FC5"/>
    <w:rsid w:val="00DC4939"/>
    <w:rsid w:val="00DC4971"/>
    <w:rsid w:val="00DC4E44"/>
    <w:rsid w:val="00DD10B6"/>
    <w:rsid w:val="00DD30C3"/>
    <w:rsid w:val="00DE4840"/>
    <w:rsid w:val="00DE7A85"/>
    <w:rsid w:val="00DF261F"/>
    <w:rsid w:val="00E150E5"/>
    <w:rsid w:val="00E219DE"/>
    <w:rsid w:val="00E274DB"/>
    <w:rsid w:val="00E31989"/>
    <w:rsid w:val="00E32842"/>
    <w:rsid w:val="00E33F5E"/>
    <w:rsid w:val="00E41211"/>
    <w:rsid w:val="00E42B95"/>
    <w:rsid w:val="00E538EE"/>
    <w:rsid w:val="00E569F6"/>
    <w:rsid w:val="00E56AD1"/>
    <w:rsid w:val="00E57D40"/>
    <w:rsid w:val="00E61F76"/>
    <w:rsid w:val="00E635B8"/>
    <w:rsid w:val="00E66EC5"/>
    <w:rsid w:val="00E6758C"/>
    <w:rsid w:val="00E710DD"/>
    <w:rsid w:val="00E80547"/>
    <w:rsid w:val="00E871A5"/>
    <w:rsid w:val="00E914A9"/>
    <w:rsid w:val="00E94455"/>
    <w:rsid w:val="00EA04FA"/>
    <w:rsid w:val="00EA39A8"/>
    <w:rsid w:val="00EB2EB5"/>
    <w:rsid w:val="00EB4208"/>
    <w:rsid w:val="00EB5CCB"/>
    <w:rsid w:val="00EC5EF5"/>
    <w:rsid w:val="00EC6E84"/>
    <w:rsid w:val="00ED28F9"/>
    <w:rsid w:val="00ED38DD"/>
    <w:rsid w:val="00ED3991"/>
    <w:rsid w:val="00ED3FA1"/>
    <w:rsid w:val="00ED55C0"/>
    <w:rsid w:val="00ED7461"/>
    <w:rsid w:val="00ED7894"/>
    <w:rsid w:val="00EE4ACC"/>
    <w:rsid w:val="00EE6E4D"/>
    <w:rsid w:val="00EF2EF1"/>
    <w:rsid w:val="00EF3618"/>
    <w:rsid w:val="00F02D02"/>
    <w:rsid w:val="00F04E15"/>
    <w:rsid w:val="00F213A3"/>
    <w:rsid w:val="00F21741"/>
    <w:rsid w:val="00F340C3"/>
    <w:rsid w:val="00F41894"/>
    <w:rsid w:val="00F5095F"/>
    <w:rsid w:val="00F53C35"/>
    <w:rsid w:val="00F648AF"/>
    <w:rsid w:val="00F64F26"/>
    <w:rsid w:val="00F66E1E"/>
    <w:rsid w:val="00F703CD"/>
    <w:rsid w:val="00F70D7B"/>
    <w:rsid w:val="00F71700"/>
    <w:rsid w:val="00F83366"/>
    <w:rsid w:val="00F84143"/>
    <w:rsid w:val="00F97003"/>
    <w:rsid w:val="00FA4D67"/>
    <w:rsid w:val="00FA6296"/>
    <w:rsid w:val="00FC11C8"/>
    <w:rsid w:val="00FC4DD4"/>
    <w:rsid w:val="00FC4FD0"/>
    <w:rsid w:val="00FD10DB"/>
    <w:rsid w:val="00FD32EF"/>
    <w:rsid w:val="00FD436A"/>
    <w:rsid w:val="00FE3A99"/>
    <w:rsid w:val="00FE5BC2"/>
    <w:rsid w:val="00FE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8AB"/>
    <w:rPr>
      <w:rFonts w:eastAsiaTheme="minorEastAsia"/>
      <w:color w:val="0D0D0D" w:themeColor="text1" w:themeTint="F2"/>
      <w:sz w:val="20"/>
    </w:rPr>
  </w:style>
  <w:style w:type="paragraph" w:styleId="Heading1">
    <w:name w:val="heading 1"/>
    <w:basedOn w:val="Normal"/>
    <w:next w:val="Normal"/>
    <w:link w:val="Heading1Char"/>
    <w:uiPriority w:val="9"/>
    <w:qFormat/>
    <w:rsid w:val="000C54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54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54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54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C546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C546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C546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546C"/>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0C546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4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54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C54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C54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C546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C546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C546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C546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C546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C546C"/>
    <w:pPr>
      <w:spacing w:line="240" w:lineRule="auto"/>
    </w:pPr>
    <w:rPr>
      <w:b/>
      <w:bCs/>
      <w:color w:val="4F81BD" w:themeColor="accent1"/>
      <w:sz w:val="18"/>
      <w:szCs w:val="18"/>
    </w:rPr>
  </w:style>
  <w:style w:type="paragraph" w:styleId="Title">
    <w:name w:val="Title"/>
    <w:basedOn w:val="Normal"/>
    <w:next w:val="Normal"/>
    <w:link w:val="TitleChar"/>
    <w:uiPriority w:val="10"/>
    <w:qFormat/>
    <w:rsid w:val="000C54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546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C54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546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C546C"/>
    <w:rPr>
      <w:b/>
      <w:bCs/>
    </w:rPr>
  </w:style>
  <w:style w:type="character" w:styleId="Emphasis">
    <w:name w:val="Emphasis"/>
    <w:basedOn w:val="DefaultParagraphFont"/>
    <w:uiPriority w:val="20"/>
    <w:qFormat/>
    <w:rsid w:val="000C546C"/>
    <w:rPr>
      <w:i/>
      <w:iCs/>
    </w:rPr>
  </w:style>
  <w:style w:type="paragraph" w:styleId="NoSpacing">
    <w:name w:val="No Spacing"/>
    <w:uiPriority w:val="1"/>
    <w:qFormat/>
    <w:rsid w:val="000C546C"/>
    <w:pPr>
      <w:spacing w:after="0" w:line="240" w:lineRule="auto"/>
    </w:pPr>
  </w:style>
  <w:style w:type="paragraph" w:styleId="ListParagraph">
    <w:name w:val="List Paragraph"/>
    <w:basedOn w:val="Normal"/>
    <w:uiPriority w:val="34"/>
    <w:qFormat/>
    <w:rsid w:val="000C546C"/>
    <w:pPr>
      <w:ind w:left="720"/>
      <w:contextualSpacing/>
    </w:pPr>
  </w:style>
  <w:style w:type="paragraph" w:styleId="Quote">
    <w:name w:val="Quote"/>
    <w:basedOn w:val="Normal"/>
    <w:next w:val="Normal"/>
    <w:link w:val="QuoteChar"/>
    <w:uiPriority w:val="29"/>
    <w:qFormat/>
    <w:rsid w:val="000C546C"/>
    <w:rPr>
      <w:i/>
      <w:iCs/>
      <w:color w:val="000000" w:themeColor="text1"/>
    </w:rPr>
  </w:style>
  <w:style w:type="character" w:customStyle="1" w:styleId="QuoteChar">
    <w:name w:val="Quote Char"/>
    <w:basedOn w:val="DefaultParagraphFont"/>
    <w:link w:val="Quote"/>
    <w:uiPriority w:val="29"/>
    <w:rsid w:val="000C546C"/>
    <w:rPr>
      <w:i/>
      <w:iCs/>
      <w:color w:val="000000" w:themeColor="text1"/>
    </w:rPr>
  </w:style>
  <w:style w:type="paragraph" w:styleId="IntenseQuote">
    <w:name w:val="Intense Quote"/>
    <w:basedOn w:val="Normal"/>
    <w:next w:val="Normal"/>
    <w:link w:val="IntenseQuoteChar"/>
    <w:uiPriority w:val="30"/>
    <w:qFormat/>
    <w:rsid w:val="000C54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C546C"/>
    <w:rPr>
      <w:b/>
      <w:bCs/>
      <w:i/>
      <w:iCs/>
      <w:color w:val="4F81BD" w:themeColor="accent1"/>
    </w:rPr>
  </w:style>
  <w:style w:type="character" w:styleId="SubtleEmphasis">
    <w:name w:val="Subtle Emphasis"/>
    <w:basedOn w:val="DefaultParagraphFont"/>
    <w:uiPriority w:val="19"/>
    <w:qFormat/>
    <w:rsid w:val="000C546C"/>
    <w:rPr>
      <w:i/>
      <w:iCs/>
      <w:color w:val="808080" w:themeColor="text1" w:themeTint="7F"/>
    </w:rPr>
  </w:style>
  <w:style w:type="character" w:styleId="IntenseEmphasis">
    <w:name w:val="Intense Emphasis"/>
    <w:basedOn w:val="DefaultParagraphFont"/>
    <w:uiPriority w:val="21"/>
    <w:qFormat/>
    <w:rsid w:val="000C546C"/>
    <w:rPr>
      <w:b/>
      <w:bCs/>
      <w:i/>
      <w:iCs/>
      <w:color w:val="4F81BD" w:themeColor="accent1"/>
    </w:rPr>
  </w:style>
  <w:style w:type="character" w:styleId="SubtleReference">
    <w:name w:val="Subtle Reference"/>
    <w:basedOn w:val="DefaultParagraphFont"/>
    <w:uiPriority w:val="31"/>
    <w:qFormat/>
    <w:rsid w:val="000C546C"/>
    <w:rPr>
      <w:smallCaps/>
      <w:color w:val="C0504D" w:themeColor="accent2"/>
      <w:u w:val="single"/>
    </w:rPr>
  </w:style>
  <w:style w:type="character" w:styleId="IntenseReference">
    <w:name w:val="Intense Reference"/>
    <w:basedOn w:val="DefaultParagraphFont"/>
    <w:uiPriority w:val="32"/>
    <w:qFormat/>
    <w:rsid w:val="000C546C"/>
    <w:rPr>
      <w:b/>
      <w:bCs/>
      <w:smallCaps/>
      <w:color w:val="C0504D" w:themeColor="accent2"/>
      <w:spacing w:val="5"/>
      <w:u w:val="single"/>
    </w:rPr>
  </w:style>
  <w:style w:type="character" w:styleId="BookTitle">
    <w:name w:val="Book Title"/>
    <w:basedOn w:val="DefaultParagraphFont"/>
    <w:uiPriority w:val="33"/>
    <w:qFormat/>
    <w:rsid w:val="000C546C"/>
    <w:rPr>
      <w:b/>
      <w:bCs/>
      <w:smallCaps/>
      <w:spacing w:val="5"/>
    </w:rPr>
  </w:style>
  <w:style w:type="paragraph" w:styleId="TOCHeading">
    <w:name w:val="TOC Heading"/>
    <w:basedOn w:val="Heading1"/>
    <w:next w:val="Normal"/>
    <w:uiPriority w:val="39"/>
    <w:semiHidden/>
    <w:unhideWhenUsed/>
    <w:qFormat/>
    <w:rsid w:val="000C546C"/>
    <w:pPr>
      <w:outlineLvl w:val="9"/>
    </w:pPr>
  </w:style>
  <w:style w:type="paragraph" w:styleId="FootnoteText">
    <w:name w:val="footnote text"/>
    <w:basedOn w:val="Normal"/>
    <w:link w:val="FootnoteTextChar"/>
    <w:uiPriority w:val="99"/>
    <w:rsid w:val="00191B24"/>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uiPriority w:val="99"/>
    <w:rsid w:val="00191B24"/>
    <w:rPr>
      <w:rFonts w:ascii="Times New Roman" w:eastAsia="Times New Roman" w:hAnsi="Times New Roman" w:cs="Times New Roman"/>
      <w:sz w:val="20"/>
      <w:szCs w:val="20"/>
    </w:rPr>
  </w:style>
  <w:style w:type="table" w:customStyle="1" w:styleId="MediumShading1-Accent11">
    <w:name w:val="Medium Shading 1 - Accent 11"/>
    <w:basedOn w:val="TableNormal"/>
    <w:uiPriority w:val="63"/>
    <w:rsid w:val="00191B24"/>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otnoteReference">
    <w:name w:val="footnote reference"/>
    <w:basedOn w:val="DefaultParagraphFont"/>
    <w:uiPriority w:val="99"/>
    <w:rsid w:val="00191B24"/>
    <w:rPr>
      <w:vertAlign w:val="superscript"/>
    </w:rPr>
  </w:style>
  <w:style w:type="paragraph" w:customStyle="1" w:styleId="Default">
    <w:name w:val="Default"/>
    <w:rsid w:val="000D58AC"/>
    <w:pPr>
      <w:autoSpaceDE w:val="0"/>
      <w:autoSpaceDN w:val="0"/>
      <w:adjustRightInd w:val="0"/>
      <w:spacing w:after="0" w:line="240" w:lineRule="auto"/>
    </w:pPr>
    <w:rPr>
      <w:rFonts w:ascii="Myriad Pro" w:hAnsi="Myriad Pro" w:cs="Myriad Pro"/>
      <w:color w:val="000000"/>
      <w:sz w:val="24"/>
      <w:szCs w:val="24"/>
    </w:rPr>
  </w:style>
  <w:style w:type="character" w:customStyle="1" w:styleId="A1">
    <w:name w:val="A1"/>
    <w:uiPriority w:val="99"/>
    <w:rsid w:val="000D58AC"/>
    <w:rPr>
      <w:rFonts w:cs="Myriad Pro"/>
      <w:color w:val="FFFFFF"/>
      <w:sz w:val="96"/>
      <w:szCs w:val="96"/>
    </w:rPr>
  </w:style>
  <w:style w:type="character" w:customStyle="1" w:styleId="A6">
    <w:name w:val="A6"/>
    <w:uiPriority w:val="99"/>
    <w:rsid w:val="000D58AC"/>
    <w:rPr>
      <w:rFonts w:cs="Minion Pro"/>
      <w:color w:val="221E1F"/>
      <w:sz w:val="14"/>
      <w:szCs w:val="14"/>
    </w:rPr>
  </w:style>
  <w:style w:type="paragraph" w:styleId="Header">
    <w:name w:val="header"/>
    <w:basedOn w:val="Normal"/>
    <w:link w:val="HeaderChar"/>
    <w:uiPriority w:val="99"/>
    <w:unhideWhenUsed/>
    <w:rsid w:val="00FC1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1C8"/>
    <w:rPr>
      <w:rFonts w:eastAsiaTheme="minorEastAsia"/>
    </w:rPr>
  </w:style>
  <w:style w:type="paragraph" w:styleId="Footer">
    <w:name w:val="footer"/>
    <w:basedOn w:val="Normal"/>
    <w:link w:val="FooterChar"/>
    <w:uiPriority w:val="99"/>
    <w:unhideWhenUsed/>
    <w:rsid w:val="00FC1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1C8"/>
    <w:rPr>
      <w:rFonts w:eastAsiaTheme="minorEastAsia"/>
    </w:rPr>
  </w:style>
  <w:style w:type="character" w:customStyle="1" w:styleId="A61">
    <w:name w:val="A6+1"/>
    <w:uiPriority w:val="99"/>
    <w:rsid w:val="005049C3"/>
    <w:rPr>
      <w:rFonts w:cs="Minion Pro"/>
      <w:color w:val="221E1F"/>
      <w:sz w:val="14"/>
      <w:szCs w:val="14"/>
    </w:rPr>
  </w:style>
  <w:style w:type="paragraph" w:customStyle="1" w:styleId="Pa0">
    <w:name w:val="Pa0"/>
    <w:basedOn w:val="Default"/>
    <w:next w:val="Default"/>
    <w:uiPriority w:val="99"/>
    <w:rsid w:val="005049C3"/>
    <w:pPr>
      <w:spacing w:line="241" w:lineRule="atLeast"/>
    </w:pPr>
    <w:rPr>
      <w:rFonts w:cstheme="minorBidi"/>
      <w:color w:val="auto"/>
    </w:rPr>
  </w:style>
  <w:style w:type="character" w:customStyle="1" w:styleId="A4">
    <w:name w:val="A4"/>
    <w:uiPriority w:val="99"/>
    <w:rsid w:val="005049C3"/>
    <w:rPr>
      <w:rFonts w:cs="Myriad Pro"/>
      <w:color w:val="0097D8"/>
      <w:sz w:val="28"/>
      <w:szCs w:val="28"/>
    </w:rPr>
  </w:style>
  <w:style w:type="character" w:customStyle="1" w:styleId="A2">
    <w:name w:val="A2"/>
    <w:uiPriority w:val="99"/>
    <w:rsid w:val="00AE75AE"/>
    <w:rPr>
      <w:rFonts w:cs="Myriad Pro"/>
      <w:color w:val="FFFFFF"/>
      <w:sz w:val="36"/>
      <w:szCs w:val="36"/>
    </w:rPr>
  </w:style>
  <w:style w:type="paragraph" w:customStyle="1" w:styleId="Pa4">
    <w:name w:val="Pa4"/>
    <w:basedOn w:val="Default"/>
    <w:next w:val="Default"/>
    <w:uiPriority w:val="99"/>
    <w:rsid w:val="00AE75AE"/>
    <w:pPr>
      <w:spacing w:line="241" w:lineRule="atLeast"/>
    </w:pPr>
    <w:rPr>
      <w:rFonts w:ascii="Minion Pro" w:hAnsi="Minion Pro" w:cstheme="minorBidi"/>
      <w:color w:val="auto"/>
    </w:rPr>
  </w:style>
  <w:style w:type="character" w:customStyle="1" w:styleId="A3">
    <w:name w:val="A3"/>
    <w:uiPriority w:val="99"/>
    <w:rsid w:val="00FE3A99"/>
    <w:rPr>
      <w:rFonts w:cs="Myriad Pro"/>
      <w:color w:val="0097D8"/>
      <w:sz w:val="32"/>
      <w:szCs w:val="32"/>
    </w:rPr>
  </w:style>
  <w:style w:type="paragraph" w:customStyle="1" w:styleId="Pa25">
    <w:name w:val="Pa25"/>
    <w:basedOn w:val="Default"/>
    <w:next w:val="Default"/>
    <w:uiPriority w:val="99"/>
    <w:rsid w:val="00FE3A99"/>
    <w:pPr>
      <w:spacing w:line="241" w:lineRule="atLeast"/>
    </w:pPr>
    <w:rPr>
      <w:rFonts w:ascii="Myriad Pro Light" w:hAnsi="Myriad Pro Light" w:cstheme="minorBidi"/>
      <w:color w:val="auto"/>
    </w:rPr>
  </w:style>
  <w:style w:type="paragraph" w:customStyle="1" w:styleId="Pa26">
    <w:name w:val="Pa26"/>
    <w:basedOn w:val="Default"/>
    <w:next w:val="Default"/>
    <w:uiPriority w:val="99"/>
    <w:rsid w:val="00FE3A99"/>
    <w:pPr>
      <w:spacing w:line="241" w:lineRule="atLeast"/>
    </w:pPr>
    <w:rPr>
      <w:rFonts w:ascii="Myriad Pro Light" w:hAnsi="Myriad Pro Light" w:cstheme="minorBidi"/>
      <w:color w:val="auto"/>
    </w:rPr>
  </w:style>
  <w:style w:type="character" w:styleId="CommentReference">
    <w:name w:val="annotation reference"/>
    <w:basedOn w:val="DefaultParagraphFont"/>
    <w:uiPriority w:val="99"/>
    <w:semiHidden/>
    <w:unhideWhenUsed/>
    <w:rsid w:val="00FE3A99"/>
    <w:rPr>
      <w:sz w:val="16"/>
      <w:szCs w:val="16"/>
    </w:rPr>
  </w:style>
  <w:style w:type="paragraph" w:styleId="CommentText">
    <w:name w:val="annotation text"/>
    <w:basedOn w:val="Normal"/>
    <w:link w:val="CommentTextChar"/>
    <w:uiPriority w:val="99"/>
    <w:semiHidden/>
    <w:unhideWhenUsed/>
    <w:rsid w:val="00FE3A99"/>
    <w:pPr>
      <w:spacing w:line="240" w:lineRule="auto"/>
    </w:pPr>
    <w:rPr>
      <w:szCs w:val="20"/>
    </w:rPr>
  </w:style>
  <w:style w:type="character" w:customStyle="1" w:styleId="CommentTextChar">
    <w:name w:val="Comment Text Char"/>
    <w:basedOn w:val="DefaultParagraphFont"/>
    <w:link w:val="CommentText"/>
    <w:uiPriority w:val="99"/>
    <w:semiHidden/>
    <w:rsid w:val="00FE3A9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E3A99"/>
    <w:rPr>
      <w:b/>
      <w:bCs/>
    </w:rPr>
  </w:style>
  <w:style w:type="character" w:customStyle="1" w:styleId="CommentSubjectChar">
    <w:name w:val="Comment Subject Char"/>
    <w:basedOn w:val="CommentTextChar"/>
    <w:link w:val="CommentSubject"/>
    <w:uiPriority w:val="99"/>
    <w:semiHidden/>
    <w:rsid w:val="00FE3A99"/>
    <w:rPr>
      <w:rFonts w:eastAsiaTheme="minorEastAsia"/>
      <w:b/>
      <w:bCs/>
      <w:sz w:val="20"/>
      <w:szCs w:val="20"/>
    </w:rPr>
  </w:style>
  <w:style w:type="paragraph" w:styleId="BalloonText">
    <w:name w:val="Balloon Text"/>
    <w:basedOn w:val="Normal"/>
    <w:link w:val="BalloonTextChar"/>
    <w:uiPriority w:val="99"/>
    <w:semiHidden/>
    <w:unhideWhenUsed/>
    <w:rsid w:val="00FE3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A99"/>
    <w:rPr>
      <w:rFonts w:ascii="Tahoma" w:eastAsiaTheme="minorEastAsia" w:hAnsi="Tahoma" w:cs="Tahoma"/>
      <w:sz w:val="16"/>
      <w:szCs w:val="16"/>
    </w:rPr>
  </w:style>
  <w:style w:type="character" w:customStyle="1" w:styleId="A7">
    <w:name w:val="A7"/>
    <w:uiPriority w:val="99"/>
    <w:rsid w:val="004A1AA4"/>
    <w:rPr>
      <w:rFonts w:cs="Minion Pro"/>
      <w:color w:val="221E1F"/>
      <w:sz w:val="16"/>
      <w:szCs w:val="16"/>
    </w:rPr>
  </w:style>
  <w:style w:type="paragraph" w:customStyle="1" w:styleId="Pa7">
    <w:name w:val="Pa7"/>
    <w:basedOn w:val="Default"/>
    <w:next w:val="Default"/>
    <w:uiPriority w:val="99"/>
    <w:rsid w:val="00686B55"/>
    <w:pPr>
      <w:spacing w:line="241" w:lineRule="atLeast"/>
    </w:pPr>
    <w:rPr>
      <w:rFonts w:ascii="Myriad Pro Light" w:hAnsi="Myriad Pro Light" w:cstheme="minorBidi"/>
      <w:color w:val="auto"/>
    </w:rPr>
  </w:style>
  <w:style w:type="paragraph" w:customStyle="1" w:styleId="Pa15">
    <w:name w:val="Pa15"/>
    <w:basedOn w:val="Default"/>
    <w:next w:val="Default"/>
    <w:uiPriority w:val="99"/>
    <w:rsid w:val="00686B55"/>
    <w:pPr>
      <w:spacing w:line="241" w:lineRule="atLeast"/>
    </w:pPr>
    <w:rPr>
      <w:rFonts w:ascii="Myriad Pro Light" w:hAnsi="Myriad Pro Light" w:cstheme="minorBidi"/>
      <w:color w:val="auto"/>
    </w:rPr>
  </w:style>
  <w:style w:type="paragraph" w:customStyle="1" w:styleId="Pa9">
    <w:name w:val="Pa9"/>
    <w:basedOn w:val="Default"/>
    <w:next w:val="Default"/>
    <w:uiPriority w:val="99"/>
    <w:rsid w:val="00BE5180"/>
    <w:pPr>
      <w:spacing w:line="241" w:lineRule="atLeast"/>
    </w:pPr>
    <w:rPr>
      <w:rFonts w:ascii="Minion Pro SmBd" w:hAnsi="Minion Pro SmBd" w:cstheme="minorBidi"/>
      <w:color w:val="auto"/>
    </w:rPr>
  </w:style>
  <w:style w:type="paragraph" w:customStyle="1" w:styleId="Pa11">
    <w:name w:val="Pa11"/>
    <w:basedOn w:val="Default"/>
    <w:next w:val="Default"/>
    <w:uiPriority w:val="99"/>
    <w:rsid w:val="003D332B"/>
    <w:pPr>
      <w:spacing w:line="241" w:lineRule="atLeast"/>
    </w:pPr>
    <w:rPr>
      <w:rFonts w:ascii="Minion Pro" w:hAnsi="Minion Pro" w:cstheme="minorBidi"/>
      <w:color w:val="auto"/>
    </w:rPr>
  </w:style>
  <w:style w:type="paragraph" w:customStyle="1" w:styleId="Pa30">
    <w:name w:val="Pa30"/>
    <w:basedOn w:val="Default"/>
    <w:next w:val="Default"/>
    <w:uiPriority w:val="99"/>
    <w:rsid w:val="001E079C"/>
    <w:pPr>
      <w:spacing w:line="241" w:lineRule="atLeast"/>
    </w:pPr>
    <w:rPr>
      <w:rFonts w:ascii="Minion Pro" w:hAnsi="Minion Pro" w:cstheme="minorBidi"/>
      <w:color w:val="auto"/>
    </w:rPr>
  </w:style>
  <w:style w:type="paragraph" w:customStyle="1" w:styleId="Pa27">
    <w:name w:val="Pa27"/>
    <w:basedOn w:val="Default"/>
    <w:next w:val="Default"/>
    <w:uiPriority w:val="99"/>
    <w:rsid w:val="001E079C"/>
    <w:pPr>
      <w:spacing w:line="241" w:lineRule="atLeast"/>
    </w:pPr>
    <w:rPr>
      <w:rFonts w:ascii="Minion Pro" w:hAnsi="Minion Pro" w:cstheme="minorBidi"/>
      <w:color w:val="auto"/>
    </w:rPr>
  </w:style>
  <w:style w:type="paragraph" w:customStyle="1" w:styleId="Pa33">
    <w:name w:val="Pa33"/>
    <w:basedOn w:val="Default"/>
    <w:next w:val="Default"/>
    <w:uiPriority w:val="99"/>
    <w:rsid w:val="003C5CA3"/>
    <w:pPr>
      <w:spacing w:line="241" w:lineRule="atLeast"/>
    </w:pPr>
    <w:rPr>
      <w:rFonts w:ascii="Minion Pro" w:hAnsi="Minion Pro" w:cstheme="minorBidi"/>
      <w:color w:val="auto"/>
    </w:rPr>
  </w:style>
  <w:style w:type="paragraph" w:customStyle="1" w:styleId="Pa34">
    <w:name w:val="Pa34"/>
    <w:basedOn w:val="Default"/>
    <w:next w:val="Default"/>
    <w:uiPriority w:val="99"/>
    <w:rsid w:val="003C5CA3"/>
    <w:pPr>
      <w:spacing w:line="241" w:lineRule="atLeast"/>
    </w:pPr>
    <w:rPr>
      <w:rFonts w:ascii="Minion Pro" w:hAnsi="Minion Pro" w:cstheme="minorBidi"/>
      <w:color w:val="auto"/>
    </w:rPr>
  </w:style>
  <w:style w:type="paragraph" w:customStyle="1" w:styleId="Pa35">
    <w:name w:val="Pa35"/>
    <w:basedOn w:val="Default"/>
    <w:next w:val="Default"/>
    <w:uiPriority w:val="99"/>
    <w:rsid w:val="003C5CA3"/>
    <w:pPr>
      <w:spacing w:line="241" w:lineRule="atLeast"/>
    </w:pPr>
    <w:rPr>
      <w:rFonts w:ascii="Minion Pro" w:hAnsi="Minion Pro" w:cstheme="minorBidi"/>
      <w:color w:val="auto"/>
    </w:rPr>
  </w:style>
  <w:style w:type="paragraph" w:customStyle="1" w:styleId="Pa36">
    <w:name w:val="Pa36"/>
    <w:basedOn w:val="Default"/>
    <w:next w:val="Default"/>
    <w:uiPriority w:val="99"/>
    <w:rsid w:val="003C5CA3"/>
    <w:pPr>
      <w:spacing w:line="241" w:lineRule="atLeast"/>
    </w:pPr>
    <w:rPr>
      <w:rFonts w:ascii="Minion Pro" w:hAnsi="Minion Pro" w:cstheme="minorBidi"/>
      <w:color w:val="auto"/>
    </w:rPr>
  </w:style>
  <w:style w:type="character" w:styleId="Hyperlink">
    <w:name w:val="Hyperlink"/>
    <w:basedOn w:val="DefaultParagraphFont"/>
    <w:uiPriority w:val="99"/>
    <w:unhideWhenUsed/>
    <w:rsid w:val="00B97CEB"/>
    <w:rPr>
      <w:color w:val="0000FF" w:themeColor="hyperlink"/>
      <w:u w:val="single"/>
    </w:rPr>
  </w:style>
  <w:style w:type="paragraph" w:styleId="Revision">
    <w:name w:val="Revision"/>
    <w:hidden/>
    <w:uiPriority w:val="99"/>
    <w:semiHidden/>
    <w:rsid w:val="00BD57E9"/>
    <w:pPr>
      <w:spacing w:after="0" w:line="240" w:lineRule="auto"/>
    </w:pPr>
    <w:rPr>
      <w:rFonts w:eastAsiaTheme="minorEastAsia"/>
    </w:rPr>
  </w:style>
  <w:style w:type="character" w:styleId="FollowedHyperlink">
    <w:name w:val="FollowedHyperlink"/>
    <w:basedOn w:val="DefaultParagraphFont"/>
    <w:uiPriority w:val="99"/>
    <w:semiHidden/>
    <w:unhideWhenUsed/>
    <w:rsid w:val="00554EF8"/>
    <w:rPr>
      <w:color w:val="800080" w:themeColor="followedHyperlink"/>
      <w:u w:val="single"/>
    </w:rPr>
  </w:style>
  <w:style w:type="character" w:customStyle="1" w:styleId="breakword">
    <w:name w:val="breakword"/>
    <w:basedOn w:val="DefaultParagraphFont"/>
    <w:rsid w:val="00554EF8"/>
  </w:style>
  <w:style w:type="table" w:customStyle="1" w:styleId="MediumShading1-Accent111">
    <w:name w:val="Medium Shading 1 - Accent 111"/>
    <w:basedOn w:val="TableNormal"/>
    <w:uiPriority w:val="63"/>
    <w:rsid w:val="00A52A0D"/>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2">
    <w:name w:val="Medium Shading 1 - Accent 112"/>
    <w:basedOn w:val="TableNormal"/>
    <w:uiPriority w:val="63"/>
    <w:rsid w:val="00E274DB"/>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3">
    <w:name w:val="Medium Shading 1 - Accent 113"/>
    <w:basedOn w:val="TableNormal"/>
    <w:uiPriority w:val="63"/>
    <w:rsid w:val="00B82DBF"/>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4">
    <w:name w:val="Medium Shading 1 - Accent 114"/>
    <w:basedOn w:val="TableNormal"/>
    <w:uiPriority w:val="63"/>
    <w:rsid w:val="00CF182C"/>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5">
    <w:name w:val="Medium Shading 1 - Accent 115"/>
    <w:basedOn w:val="TableNormal"/>
    <w:uiPriority w:val="63"/>
    <w:rsid w:val="003A0A18"/>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6">
    <w:name w:val="Medium Shading 1 - Accent 116"/>
    <w:basedOn w:val="TableNormal"/>
    <w:uiPriority w:val="63"/>
    <w:rsid w:val="003E29C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7">
    <w:name w:val="Medium Shading 1 - Accent 117"/>
    <w:basedOn w:val="TableNormal"/>
    <w:uiPriority w:val="63"/>
    <w:rsid w:val="000D3318"/>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8">
    <w:name w:val="Medium Shading 1 - Accent 118"/>
    <w:basedOn w:val="TableNormal"/>
    <w:uiPriority w:val="63"/>
    <w:rsid w:val="004842FE"/>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9">
    <w:name w:val="Medium Shading 1 - Accent 119"/>
    <w:basedOn w:val="TableNormal"/>
    <w:uiPriority w:val="63"/>
    <w:rsid w:val="00903369"/>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10">
    <w:name w:val="Medium Shading 1 - Accent 1110"/>
    <w:basedOn w:val="TableNormal"/>
    <w:uiPriority w:val="63"/>
    <w:rsid w:val="009014C6"/>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11">
    <w:name w:val="Medium Shading 1 - Accent 1111"/>
    <w:basedOn w:val="TableNormal"/>
    <w:uiPriority w:val="63"/>
    <w:rsid w:val="009014C6"/>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12">
    <w:name w:val="Medium Shading 1 - Accent 1112"/>
    <w:basedOn w:val="TableNormal"/>
    <w:uiPriority w:val="63"/>
    <w:rsid w:val="009033AE"/>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8AB"/>
    <w:rPr>
      <w:rFonts w:eastAsiaTheme="minorEastAsia"/>
      <w:color w:val="0D0D0D" w:themeColor="text1" w:themeTint="F2"/>
      <w:sz w:val="20"/>
    </w:rPr>
  </w:style>
  <w:style w:type="paragraph" w:styleId="Heading1">
    <w:name w:val="heading 1"/>
    <w:basedOn w:val="Normal"/>
    <w:next w:val="Normal"/>
    <w:link w:val="Heading1Char"/>
    <w:uiPriority w:val="9"/>
    <w:qFormat/>
    <w:rsid w:val="000C54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54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54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54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C546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C546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C546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546C"/>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0C546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4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54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C54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C54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C546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C546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C546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C546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C546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C546C"/>
    <w:pPr>
      <w:spacing w:line="240" w:lineRule="auto"/>
    </w:pPr>
    <w:rPr>
      <w:b/>
      <w:bCs/>
      <w:color w:val="4F81BD" w:themeColor="accent1"/>
      <w:sz w:val="18"/>
      <w:szCs w:val="18"/>
    </w:rPr>
  </w:style>
  <w:style w:type="paragraph" w:styleId="Title">
    <w:name w:val="Title"/>
    <w:basedOn w:val="Normal"/>
    <w:next w:val="Normal"/>
    <w:link w:val="TitleChar"/>
    <w:uiPriority w:val="10"/>
    <w:qFormat/>
    <w:rsid w:val="000C54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546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C54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546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C546C"/>
    <w:rPr>
      <w:b/>
      <w:bCs/>
    </w:rPr>
  </w:style>
  <w:style w:type="character" w:styleId="Emphasis">
    <w:name w:val="Emphasis"/>
    <w:basedOn w:val="DefaultParagraphFont"/>
    <w:uiPriority w:val="20"/>
    <w:qFormat/>
    <w:rsid w:val="000C546C"/>
    <w:rPr>
      <w:i/>
      <w:iCs/>
    </w:rPr>
  </w:style>
  <w:style w:type="paragraph" w:styleId="NoSpacing">
    <w:name w:val="No Spacing"/>
    <w:uiPriority w:val="1"/>
    <w:qFormat/>
    <w:rsid w:val="000C546C"/>
    <w:pPr>
      <w:spacing w:after="0" w:line="240" w:lineRule="auto"/>
    </w:pPr>
  </w:style>
  <w:style w:type="paragraph" w:styleId="ListParagraph">
    <w:name w:val="List Paragraph"/>
    <w:basedOn w:val="Normal"/>
    <w:uiPriority w:val="34"/>
    <w:qFormat/>
    <w:rsid w:val="000C546C"/>
    <w:pPr>
      <w:ind w:left="720"/>
      <w:contextualSpacing/>
    </w:pPr>
  </w:style>
  <w:style w:type="paragraph" w:styleId="Quote">
    <w:name w:val="Quote"/>
    <w:basedOn w:val="Normal"/>
    <w:next w:val="Normal"/>
    <w:link w:val="QuoteChar"/>
    <w:uiPriority w:val="29"/>
    <w:qFormat/>
    <w:rsid w:val="000C546C"/>
    <w:rPr>
      <w:i/>
      <w:iCs/>
      <w:color w:val="000000" w:themeColor="text1"/>
    </w:rPr>
  </w:style>
  <w:style w:type="character" w:customStyle="1" w:styleId="QuoteChar">
    <w:name w:val="Quote Char"/>
    <w:basedOn w:val="DefaultParagraphFont"/>
    <w:link w:val="Quote"/>
    <w:uiPriority w:val="29"/>
    <w:rsid w:val="000C546C"/>
    <w:rPr>
      <w:i/>
      <w:iCs/>
      <w:color w:val="000000" w:themeColor="text1"/>
    </w:rPr>
  </w:style>
  <w:style w:type="paragraph" w:styleId="IntenseQuote">
    <w:name w:val="Intense Quote"/>
    <w:basedOn w:val="Normal"/>
    <w:next w:val="Normal"/>
    <w:link w:val="IntenseQuoteChar"/>
    <w:uiPriority w:val="30"/>
    <w:qFormat/>
    <w:rsid w:val="000C54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C546C"/>
    <w:rPr>
      <w:b/>
      <w:bCs/>
      <w:i/>
      <w:iCs/>
      <w:color w:val="4F81BD" w:themeColor="accent1"/>
    </w:rPr>
  </w:style>
  <w:style w:type="character" w:styleId="SubtleEmphasis">
    <w:name w:val="Subtle Emphasis"/>
    <w:basedOn w:val="DefaultParagraphFont"/>
    <w:uiPriority w:val="19"/>
    <w:qFormat/>
    <w:rsid w:val="000C546C"/>
    <w:rPr>
      <w:i/>
      <w:iCs/>
      <w:color w:val="808080" w:themeColor="text1" w:themeTint="7F"/>
    </w:rPr>
  </w:style>
  <w:style w:type="character" w:styleId="IntenseEmphasis">
    <w:name w:val="Intense Emphasis"/>
    <w:basedOn w:val="DefaultParagraphFont"/>
    <w:uiPriority w:val="21"/>
    <w:qFormat/>
    <w:rsid w:val="000C546C"/>
    <w:rPr>
      <w:b/>
      <w:bCs/>
      <w:i/>
      <w:iCs/>
      <w:color w:val="4F81BD" w:themeColor="accent1"/>
    </w:rPr>
  </w:style>
  <w:style w:type="character" w:styleId="SubtleReference">
    <w:name w:val="Subtle Reference"/>
    <w:basedOn w:val="DefaultParagraphFont"/>
    <w:uiPriority w:val="31"/>
    <w:qFormat/>
    <w:rsid w:val="000C546C"/>
    <w:rPr>
      <w:smallCaps/>
      <w:color w:val="C0504D" w:themeColor="accent2"/>
      <w:u w:val="single"/>
    </w:rPr>
  </w:style>
  <w:style w:type="character" w:styleId="IntenseReference">
    <w:name w:val="Intense Reference"/>
    <w:basedOn w:val="DefaultParagraphFont"/>
    <w:uiPriority w:val="32"/>
    <w:qFormat/>
    <w:rsid w:val="000C546C"/>
    <w:rPr>
      <w:b/>
      <w:bCs/>
      <w:smallCaps/>
      <w:color w:val="C0504D" w:themeColor="accent2"/>
      <w:spacing w:val="5"/>
      <w:u w:val="single"/>
    </w:rPr>
  </w:style>
  <w:style w:type="character" w:styleId="BookTitle">
    <w:name w:val="Book Title"/>
    <w:basedOn w:val="DefaultParagraphFont"/>
    <w:uiPriority w:val="33"/>
    <w:qFormat/>
    <w:rsid w:val="000C546C"/>
    <w:rPr>
      <w:b/>
      <w:bCs/>
      <w:smallCaps/>
      <w:spacing w:val="5"/>
    </w:rPr>
  </w:style>
  <w:style w:type="paragraph" w:styleId="TOCHeading">
    <w:name w:val="TOC Heading"/>
    <w:basedOn w:val="Heading1"/>
    <w:next w:val="Normal"/>
    <w:uiPriority w:val="39"/>
    <w:semiHidden/>
    <w:unhideWhenUsed/>
    <w:qFormat/>
    <w:rsid w:val="000C546C"/>
    <w:pPr>
      <w:outlineLvl w:val="9"/>
    </w:pPr>
  </w:style>
  <w:style w:type="paragraph" w:styleId="FootnoteText">
    <w:name w:val="footnote text"/>
    <w:basedOn w:val="Normal"/>
    <w:link w:val="FootnoteTextChar"/>
    <w:uiPriority w:val="99"/>
    <w:rsid w:val="00191B24"/>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uiPriority w:val="99"/>
    <w:rsid w:val="00191B24"/>
    <w:rPr>
      <w:rFonts w:ascii="Times New Roman" w:eastAsia="Times New Roman" w:hAnsi="Times New Roman" w:cs="Times New Roman"/>
      <w:sz w:val="20"/>
      <w:szCs w:val="20"/>
    </w:rPr>
  </w:style>
  <w:style w:type="table" w:customStyle="1" w:styleId="MediumShading1-Accent11">
    <w:name w:val="Medium Shading 1 - Accent 11"/>
    <w:basedOn w:val="TableNormal"/>
    <w:uiPriority w:val="63"/>
    <w:rsid w:val="00191B24"/>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otnoteReference">
    <w:name w:val="footnote reference"/>
    <w:basedOn w:val="DefaultParagraphFont"/>
    <w:uiPriority w:val="99"/>
    <w:rsid w:val="00191B24"/>
    <w:rPr>
      <w:vertAlign w:val="superscript"/>
    </w:rPr>
  </w:style>
  <w:style w:type="paragraph" w:customStyle="1" w:styleId="Default">
    <w:name w:val="Default"/>
    <w:rsid w:val="000D58AC"/>
    <w:pPr>
      <w:autoSpaceDE w:val="0"/>
      <w:autoSpaceDN w:val="0"/>
      <w:adjustRightInd w:val="0"/>
      <w:spacing w:after="0" w:line="240" w:lineRule="auto"/>
    </w:pPr>
    <w:rPr>
      <w:rFonts w:ascii="Myriad Pro" w:hAnsi="Myriad Pro" w:cs="Myriad Pro"/>
      <w:color w:val="000000"/>
      <w:sz w:val="24"/>
      <w:szCs w:val="24"/>
    </w:rPr>
  </w:style>
  <w:style w:type="character" w:customStyle="1" w:styleId="A1">
    <w:name w:val="A1"/>
    <w:uiPriority w:val="99"/>
    <w:rsid w:val="000D58AC"/>
    <w:rPr>
      <w:rFonts w:cs="Myriad Pro"/>
      <w:color w:val="FFFFFF"/>
      <w:sz w:val="96"/>
      <w:szCs w:val="96"/>
    </w:rPr>
  </w:style>
  <w:style w:type="character" w:customStyle="1" w:styleId="A6">
    <w:name w:val="A6"/>
    <w:uiPriority w:val="99"/>
    <w:rsid w:val="000D58AC"/>
    <w:rPr>
      <w:rFonts w:cs="Minion Pro"/>
      <w:color w:val="221E1F"/>
      <w:sz w:val="14"/>
      <w:szCs w:val="14"/>
    </w:rPr>
  </w:style>
  <w:style w:type="paragraph" w:styleId="Header">
    <w:name w:val="header"/>
    <w:basedOn w:val="Normal"/>
    <w:link w:val="HeaderChar"/>
    <w:uiPriority w:val="99"/>
    <w:unhideWhenUsed/>
    <w:rsid w:val="00FC1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1C8"/>
    <w:rPr>
      <w:rFonts w:eastAsiaTheme="minorEastAsia"/>
    </w:rPr>
  </w:style>
  <w:style w:type="paragraph" w:styleId="Footer">
    <w:name w:val="footer"/>
    <w:basedOn w:val="Normal"/>
    <w:link w:val="FooterChar"/>
    <w:uiPriority w:val="99"/>
    <w:unhideWhenUsed/>
    <w:rsid w:val="00FC1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1C8"/>
    <w:rPr>
      <w:rFonts w:eastAsiaTheme="minorEastAsia"/>
    </w:rPr>
  </w:style>
  <w:style w:type="character" w:customStyle="1" w:styleId="A61">
    <w:name w:val="A6+1"/>
    <w:uiPriority w:val="99"/>
    <w:rsid w:val="005049C3"/>
    <w:rPr>
      <w:rFonts w:cs="Minion Pro"/>
      <w:color w:val="221E1F"/>
      <w:sz w:val="14"/>
      <w:szCs w:val="14"/>
    </w:rPr>
  </w:style>
  <w:style w:type="paragraph" w:customStyle="1" w:styleId="Pa0">
    <w:name w:val="Pa0"/>
    <w:basedOn w:val="Default"/>
    <w:next w:val="Default"/>
    <w:uiPriority w:val="99"/>
    <w:rsid w:val="005049C3"/>
    <w:pPr>
      <w:spacing w:line="241" w:lineRule="atLeast"/>
    </w:pPr>
    <w:rPr>
      <w:rFonts w:cstheme="minorBidi"/>
      <w:color w:val="auto"/>
    </w:rPr>
  </w:style>
  <w:style w:type="character" w:customStyle="1" w:styleId="A4">
    <w:name w:val="A4"/>
    <w:uiPriority w:val="99"/>
    <w:rsid w:val="005049C3"/>
    <w:rPr>
      <w:rFonts w:cs="Myriad Pro"/>
      <w:color w:val="0097D8"/>
      <w:sz w:val="28"/>
      <w:szCs w:val="28"/>
    </w:rPr>
  </w:style>
  <w:style w:type="character" w:customStyle="1" w:styleId="A2">
    <w:name w:val="A2"/>
    <w:uiPriority w:val="99"/>
    <w:rsid w:val="00AE75AE"/>
    <w:rPr>
      <w:rFonts w:cs="Myriad Pro"/>
      <w:color w:val="FFFFFF"/>
      <w:sz w:val="36"/>
      <w:szCs w:val="36"/>
    </w:rPr>
  </w:style>
  <w:style w:type="paragraph" w:customStyle="1" w:styleId="Pa4">
    <w:name w:val="Pa4"/>
    <w:basedOn w:val="Default"/>
    <w:next w:val="Default"/>
    <w:uiPriority w:val="99"/>
    <w:rsid w:val="00AE75AE"/>
    <w:pPr>
      <w:spacing w:line="241" w:lineRule="atLeast"/>
    </w:pPr>
    <w:rPr>
      <w:rFonts w:ascii="Minion Pro" w:hAnsi="Minion Pro" w:cstheme="minorBidi"/>
      <w:color w:val="auto"/>
    </w:rPr>
  </w:style>
  <w:style w:type="character" w:customStyle="1" w:styleId="A3">
    <w:name w:val="A3"/>
    <w:uiPriority w:val="99"/>
    <w:rsid w:val="00FE3A99"/>
    <w:rPr>
      <w:rFonts w:cs="Myriad Pro"/>
      <w:color w:val="0097D8"/>
      <w:sz w:val="32"/>
      <w:szCs w:val="32"/>
    </w:rPr>
  </w:style>
  <w:style w:type="paragraph" w:customStyle="1" w:styleId="Pa25">
    <w:name w:val="Pa25"/>
    <w:basedOn w:val="Default"/>
    <w:next w:val="Default"/>
    <w:uiPriority w:val="99"/>
    <w:rsid w:val="00FE3A99"/>
    <w:pPr>
      <w:spacing w:line="241" w:lineRule="atLeast"/>
    </w:pPr>
    <w:rPr>
      <w:rFonts w:ascii="Myriad Pro Light" w:hAnsi="Myriad Pro Light" w:cstheme="minorBidi"/>
      <w:color w:val="auto"/>
    </w:rPr>
  </w:style>
  <w:style w:type="paragraph" w:customStyle="1" w:styleId="Pa26">
    <w:name w:val="Pa26"/>
    <w:basedOn w:val="Default"/>
    <w:next w:val="Default"/>
    <w:uiPriority w:val="99"/>
    <w:rsid w:val="00FE3A99"/>
    <w:pPr>
      <w:spacing w:line="241" w:lineRule="atLeast"/>
    </w:pPr>
    <w:rPr>
      <w:rFonts w:ascii="Myriad Pro Light" w:hAnsi="Myriad Pro Light" w:cstheme="minorBidi"/>
      <w:color w:val="auto"/>
    </w:rPr>
  </w:style>
  <w:style w:type="character" w:styleId="CommentReference">
    <w:name w:val="annotation reference"/>
    <w:basedOn w:val="DefaultParagraphFont"/>
    <w:uiPriority w:val="99"/>
    <w:semiHidden/>
    <w:unhideWhenUsed/>
    <w:rsid w:val="00FE3A99"/>
    <w:rPr>
      <w:sz w:val="16"/>
      <w:szCs w:val="16"/>
    </w:rPr>
  </w:style>
  <w:style w:type="paragraph" w:styleId="CommentText">
    <w:name w:val="annotation text"/>
    <w:basedOn w:val="Normal"/>
    <w:link w:val="CommentTextChar"/>
    <w:uiPriority w:val="99"/>
    <w:semiHidden/>
    <w:unhideWhenUsed/>
    <w:rsid w:val="00FE3A99"/>
    <w:pPr>
      <w:spacing w:line="240" w:lineRule="auto"/>
    </w:pPr>
    <w:rPr>
      <w:szCs w:val="20"/>
    </w:rPr>
  </w:style>
  <w:style w:type="character" w:customStyle="1" w:styleId="CommentTextChar">
    <w:name w:val="Comment Text Char"/>
    <w:basedOn w:val="DefaultParagraphFont"/>
    <w:link w:val="CommentText"/>
    <w:uiPriority w:val="99"/>
    <w:semiHidden/>
    <w:rsid w:val="00FE3A9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E3A99"/>
    <w:rPr>
      <w:b/>
      <w:bCs/>
    </w:rPr>
  </w:style>
  <w:style w:type="character" w:customStyle="1" w:styleId="CommentSubjectChar">
    <w:name w:val="Comment Subject Char"/>
    <w:basedOn w:val="CommentTextChar"/>
    <w:link w:val="CommentSubject"/>
    <w:uiPriority w:val="99"/>
    <w:semiHidden/>
    <w:rsid w:val="00FE3A99"/>
    <w:rPr>
      <w:rFonts w:eastAsiaTheme="minorEastAsia"/>
      <w:b/>
      <w:bCs/>
      <w:sz w:val="20"/>
      <w:szCs w:val="20"/>
    </w:rPr>
  </w:style>
  <w:style w:type="paragraph" w:styleId="BalloonText">
    <w:name w:val="Balloon Text"/>
    <w:basedOn w:val="Normal"/>
    <w:link w:val="BalloonTextChar"/>
    <w:uiPriority w:val="99"/>
    <w:semiHidden/>
    <w:unhideWhenUsed/>
    <w:rsid w:val="00FE3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A99"/>
    <w:rPr>
      <w:rFonts w:ascii="Tahoma" w:eastAsiaTheme="minorEastAsia" w:hAnsi="Tahoma" w:cs="Tahoma"/>
      <w:sz w:val="16"/>
      <w:szCs w:val="16"/>
    </w:rPr>
  </w:style>
  <w:style w:type="character" w:customStyle="1" w:styleId="A7">
    <w:name w:val="A7"/>
    <w:uiPriority w:val="99"/>
    <w:rsid w:val="004A1AA4"/>
    <w:rPr>
      <w:rFonts w:cs="Minion Pro"/>
      <w:color w:val="221E1F"/>
      <w:sz w:val="16"/>
      <w:szCs w:val="16"/>
    </w:rPr>
  </w:style>
  <w:style w:type="paragraph" w:customStyle="1" w:styleId="Pa7">
    <w:name w:val="Pa7"/>
    <w:basedOn w:val="Default"/>
    <w:next w:val="Default"/>
    <w:uiPriority w:val="99"/>
    <w:rsid w:val="00686B55"/>
    <w:pPr>
      <w:spacing w:line="241" w:lineRule="atLeast"/>
    </w:pPr>
    <w:rPr>
      <w:rFonts w:ascii="Myriad Pro Light" w:hAnsi="Myriad Pro Light" w:cstheme="minorBidi"/>
      <w:color w:val="auto"/>
    </w:rPr>
  </w:style>
  <w:style w:type="paragraph" w:customStyle="1" w:styleId="Pa15">
    <w:name w:val="Pa15"/>
    <w:basedOn w:val="Default"/>
    <w:next w:val="Default"/>
    <w:uiPriority w:val="99"/>
    <w:rsid w:val="00686B55"/>
    <w:pPr>
      <w:spacing w:line="241" w:lineRule="atLeast"/>
    </w:pPr>
    <w:rPr>
      <w:rFonts w:ascii="Myriad Pro Light" w:hAnsi="Myriad Pro Light" w:cstheme="minorBidi"/>
      <w:color w:val="auto"/>
    </w:rPr>
  </w:style>
  <w:style w:type="paragraph" w:customStyle="1" w:styleId="Pa9">
    <w:name w:val="Pa9"/>
    <w:basedOn w:val="Default"/>
    <w:next w:val="Default"/>
    <w:uiPriority w:val="99"/>
    <w:rsid w:val="00BE5180"/>
    <w:pPr>
      <w:spacing w:line="241" w:lineRule="atLeast"/>
    </w:pPr>
    <w:rPr>
      <w:rFonts w:ascii="Minion Pro SmBd" w:hAnsi="Minion Pro SmBd" w:cstheme="minorBidi"/>
      <w:color w:val="auto"/>
    </w:rPr>
  </w:style>
  <w:style w:type="paragraph" w:customStyle="1" w:styleId="Pa11">
    <w:name w:val="Pa11"/>
    <w:basedOn w:val="Default"/>
    <w:next w:val="Default"/>
    <w:uiPriority w:val="99"/>
    <w:rsid w:val="003D332B"/>
    <w:pPr>
      <w:spacing w:line="241" w:lineRule="atLeast"/>
    </w:pPr>
    <w:rPr>
      <w:rFonts w:ascii="Minion Pro" w:hAnsi="Minion Pro" w:cstheme="minorBidi"/>
      <w:color w:val="auto"/>
    </w:rPr>
  </w:style>
  <w:style w:type="paragraph" w:customStyle="1" w:styleId="Pa30">
    <w:name w:val="Pa30"/>
    <w:basedOn w:val="Default"/>
    <w:next w:val="Default"/>
    <w:uiPriority w:val="99"/>
    <w:rsid w:val="001E079C"/>
    <w:pPr>
      <w:spacing w:line="241" w:lineRule="atLeast"/>
    </w:pPr>
    <w:rPr>
      <w:rFonts w:ascii="Minion Pro" w:hAnsi="Minion Pro" w:cstheme="minorBidi"/>
      <w:color w:val="auto"/>
    </w:rPr>
  </w:style>
  <w:style w:type="paragraph" w:customStyle="1" w:styleId="Pa27">
    <w:name w:val="Pa27"/>
    <w:basedOn w:val="Default"/>
    <w:next w:val="Default"/>
    <w:uiPriority w:val="99"/>
    <w:rsid w:val="001E079C"/>
    <w:pPr>
      <w:spacing w:line="241" w:lineRule="atLeast"/>
    </w:pPr>
    <w:rPr>
      <w:rFonts w:ascii="Minion Pro" w:hAnsi="Minion Pro" w:cstheme="minorBidi"/>
      <w:color w:val="auto"/>
    </w:rPr>
  </w:style>
  <w:style w:type="paragraph" w:customStyle="1" w:styleId="Pa33">
    <w:name w:val="Pa33"/>
    <w:basedOn w:val="Default"/>
    <w:next w:val="Default"/>
    <w:uiPriority w:val="99"/>
    <w:rsid w:val="003C5CA3"/>
    <w:pPr>
      <w:spacing w:line="241" w:lineRule="atLeast"/>
    </w:pPr>
    <w:rPr>
      <w:rFonts w:ascii="Minion Pro" w:hAnsi="Minion Pro" w:cstheme="minorBidi"/>
      <w:color w:val="auto"/>
    </w:rPr>
  </w:style>
  <w:style w:type="paragraph" w:customStyle="1" w:styleId="Pa34">
    <w:name w:val="Pa34"/>
    <w:basedOn w:val="Default"/>
    <w:next w:val="Default"/>
    <w:uiPriority w:val="99"/>
    <w:rsid w:val="003C5CA3"/>
    <w:pPr>
      <w:spacing w:line="241" w:lineRule="atLeast"/>
    </w:pPr>
    <w:rPr>
      <w:rFonts w:ascii="Minion Pro" w:hAnsi="Minion Pro" w:cstheme="minorBidi"/>
      <w:color w:val="auto"/>
    </w:rPr>
  </w:style>
  <w:style w:type="paragraph" w:customStyle="1" w:styleId="Pa35">
    <w:name w:val="Pa35"/>
    <w:basedOn w:val="Default"/>
    <w:next w:val="Default"/>
    <w:uiPriority w:val="99"/>
    <w:rsid w:val="003C5CA3"/>
    <w:pPr>
      <w:spacing w:line="241" w:lineRule="atLeast"/>
    </w:pPr>
    <w:rPr>
      <w:rFonts w:ascii="Minion Pro" w:hAnsi="Minion Pro" w:cstheme="minorBidi"/>
      <w:color w:val="auto"/>
    </w:rPr>
  </w:style>
  <w:style w:type="paragraph" w:customStyle="1" w:styleId="Pa36">
    <w:name w:val="Pa36"/>
    <w:basedOn w:val="Default"/>
    <w:next w:val="Default"/>
    <w:uiPriority w:val="99"/>
    <w:rsid w:val="003C5CA3"/>
    <w:pPr>
      <w:spacing w:line="241" w:lineRule="atLeast"/>
    </w:pPr>
    <w:rPr>
      <w:rFonts w:ascii="Minion Pro" w:hAnsi="Minion Pro" w:cstheme="minorBidi"/>
      <w:color w:val="auto"/>
    </w:rPr>
  </w:style>
  <w:style w:type="character" w:styleId="Hyperlink">
    <w:name w:val="Hyperlink"/>
    <w:basedOn w:val="DefaultParagraphFont"/>
    <w:uiPriority w:val="99"/>
    <w:unhideWhenUsed/>
    <w:rsid w:val="00B97CEB"/>
    <w:rPr>
      <w:color w:val="0000FF" w:themeColor="hyperlink"/>
      <w:u w:val="single"/>
    </w:rPr>
  </w:style>
  <w:style w:type="paragraph" w:styleId="Revision">
    <w:name w:val="Revision"/>
    <w:hidden/>
    <w:uiPriority w:val="99"/>
    <w:semiHidden/>
    <w:rsid w:val="00BD57E9"/>
    <w:pPr>
      <w:spacing w:after="0" w:line="240" w:lineRule="auto"/>
    </w:pPr>
    <w:rPr>
      <w:rFonts w:eastAsiaTheme="minorEastAsia"/>
    </w:rPr>
  </w:style>
  <w:style w:type="character" w:styleId="FollowedHyperlink">
    <w:name w:val="FollowedHyperlink"/>
    <w:basedOn w:val="DefaultParagraphFont"/>
    <w:uiPriority w:val="99"/>
    <w:semiHidden/>
    <w:unhideWhenUsed/>
    <w:rsid w:val="00554EF8"/>
    <w:rPr>
      <w:color w:val="800080" w:themeColor="followedHyperlink"/>
      <w:u w:val="single"/>
    </w:rPr>
  </w:style>
  <w:style w:type="character" w:customStyle="1" w:styleId="breakword">
    <w:name w:val="breakword"/>
    <w:basedOn w:val="DefaultParagraphFont"/>
    <w:rsid w:val="00554EF8"/>
  </w:style>
  <w:style w:type="table" w:customStyle="1" w:styleId="MediumShading1-Accent111">
    <w:name w:val="Medium Shading 1 - Accent 111"/>
    <w:basedOn w:val="TableNormal"/>
    <w:uiPriority w:val="63"/>
    <w:rsid w:val="00A52A0D"/>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2">
    <w:name w:val="Medium Shading 1 - Accent 112"/>
    <w:basedOn w:val="TableNormal"/>
    <w:uiPriority w:val="63"/>
    <w:rsid w:val="00E274DB"/>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3">
    <w:name w:val="Medium Shading 1 - Accent 113"/>
    <w:basedOn w:val="TableNormal"/>
    <w:uiPriority w:val="63"/>
    <w:rsid w:val="00B82DBF"/>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4">
    <w:name w:val="Medium Shading 1 - Accent 114"/>
    <w:basedOn w:val="TableNormal"/>
    <w:uiPriority w:val="63"/>
    <w:rsid w:val="00CF182C"/>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5">
    <w:name w:val="Medium Shading 1 - Accent 115"/>
    <w:basedOn w:val="TableNormal"/>
    <w:uiPriority w:val="63"/>
    <w:rsid w:val="003A0A18"/>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6">
    <w:name w:val="Medium Shading 1 - Accent 116"/>
    <w:basedOn w:val="TableNormal"/>
    <w:uiPriority w:val="63"/>
    <w:rsid w:val="003E29C3"/>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7">
    <w:name w:val="Medium Shading 1 - Accent 117"/>
    <w:basedOn w:val="TableNormal"/>
    <w:uiPriority w:val="63"/>
    <w:rsid w:val="000D3318"/>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8">
    <w:name w:val="Medium Shading 1 - Accent 118"/>
    <w:basedOn w:val="TableNormal"/>
    <w:uiPriority w:val="63"/>
    <w:rsid w:val="004842FE"/>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9">
    <w:name w:val="Medium Shading 1 - Accent 119"/>
    <w:basedOn w:val="TableNormal"/>
    <w:uiPriority w:val="63"/>
    <w:rsid w:val="00903369"/>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10">
    <w:name w:val="Medium Shading 1 - Accent 1110"/>
    <w:basedOn w:val="TableNormal"/>
    <w:uiPriority w:val="63"/>
    <w:rsid w:val="009014C6"/>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11">
    <w:name w:val="Medium Shading 1 - Accent 1111"/>
    <w:basedOn w:val="TableNormal"/>
    <w:uiPriority w:val="63"/>
    <w:rsid w:val="009014C6"/>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12">
    <w:name w:val="Medium Shading 1 - Accent 1112"/>
    <w:basedOn w:val="TableNormal"/>
    <w:uiPriority w:val="63"/>
    <w:rsid w:val="009033AE"/>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32229">
      <w:bodyDiv w:val="1"/>
      <w:marLeft w:val="0"/>
      <w:marRight w:val="0"/>
      <w:marTop w:val="0"/>
      <w:marBottom w:val="0"/>
      <w:divBdr>
        <w:top w:val="none" w:sz="0" w:space="0" w:color="auto"/>
        <w:left w:val="none" w:sz="0" w:space="0" w:color="auto"/>
        <w:bottom w:val="none" w:sz="0" w:space="0" w:color="auto"/>
        <w:right w:val="none" w:sz="0" w:space="0" w:color="auto"/>
      </w:divBdr>
    </w:div>
    <w:div w:id="2024551912">
      <w:bodyDiv w:val="1"/>
      <w:marLeft w:val="0"/>
      <w:marRight w:val="0"/>
      <w:marTop w:val="0"/>
      <w:marBottom w:val="0"/>
      <w:divBdr>
        <w:top w:val="none" w:sz="0" w:space="0" w:color="auto"/>
        <w:left w:val="none" w:sz="0" w:space="0" w:color="auto"/>
        <w:bottom w:val="none" w:sz="0" w:space="0" w:color="auto"/>
        <w:right w:val="none" w:sz="0" w:space="0" w:color="auto"/>
      </w:divBdr>
    </w:div>
    <w:div w:id="2071538679">
      <w:bodyDiv w:val="1"/>
      <w:marLeft w:val="0"/>
      <w:marRight w:val="0"/>
      <w:marTop w:val="0"/>
      <w:marBottom w:val="0"/>
      <w:divBdr>
        <w:top w:val="none" w:sz="0" w:space="0" w:color="auto"/>
        <w:left w:val="none" w:sz="0" w:space="0" w:color="auto"/>
        <w:bottom w:val="none" w:sz="0" w:space="0" w:color="auto"/>
        <w:right w:val="none" w:sz="0" w:space="0" w:color="auto"/>
      </w:divBdr>
    </w:div>
    <w:div w:id="208394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l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ms.gov/Medicare/Provider-Enrollment-and-Certification/SurveyCertificationGenInfo/Downloads/Survey-and-Cert-Letter-14-05.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ms.gov/Medicare/Provider-Enrollment-and-Certification/SurveyCertificationGenInfo/Downloads/SCLetter10-12.pdf" TargetMode="External"/><Relationship Id="rId5" Type="http://schemas.openxmlformats.org/officeDocument/2006/relationships/settings" Target="settings.xml"/><Relationship Id="rId15" Type="http://schemas.openxmlformats.org/officeDocument/2006/relationships/hyperlink" Target="https://www.acla.com/" TargetMode="External"/><Relationship Id="rId10" Type="http://schemas.openxmlformats.org/officeDocument/2006/relationships/hyperlink" Target="https://www.acla.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na01.safelinks.protection.outlook.com/?url=https%3A%2F%2Fclick.connect.hhs.gov%2F%3Fqs%3D162ae77651066a686f198d84306ebf27c6d4fdc3791c4039cdbea2d80f5cb93cc3cf0586bb3a558ab85f36e5d5e0b0aef409dc85f0d4c974&amp;data=02%7C01%7CFreida.X.Hall%40questdiagnostics.com%7Cbf91fa24e09c4ad9331808d6554336cd%7Cb68c6481b22b46b38c4c0024bb9b9b1f%7C1%7C0%7C636790144509029381&amp;sdata=pUjczf4O7J%2FHgtzHIxTCduhmMIj%2F1PCwlbV7EHLS1JU%3D&amp;reserved=0" TargetMode="External"/><Relationship Id="rId14" Type="http://schemas.openxmlformats.org/officeDocument/2006/relationships/hyperlink" Target="https://www.acla.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ncprojectracking.healthit.gov/wiki/display/TechLabSC/Lab+US+Realm" TargetMode="External"/><Relationship Id="rId2" Type="http://schemas.openxmlformats.org/officeDocument/2006/relationships/hyperlink" Target="https://www.healthit.gov/buzz-blog/tag/clia/" TargetMode="External"/><Relationship Id="rId1" Type="http://schemas.openxmlformats.org/officeDocument/2006/relationships/hyperlink" Target="https://www.congress.gov/114/plaws/publ255/PLAW-114publ255.pdf" TargetMode="External"/><Relationship Id="rId6" Type="http://schemas.openxmlformats.org/officeDocument/2006/relationships/hyperlink" Target="http://wwwn.cdc.gov/clia/regs/subpart_k.aspx" TargetMode="External"/><Relationship Id="rId5" Type="http://schemas.openxmlformats.org/officeDocument/2006/relationships/hyperlink" Target="http://www.hl7.org/implement/standards/product_brief.cfm?product_id=279" TargetMode="External"/><Relationship Id="rId4" Type="http://schemas.openxmlformats.org/officeDocument/2006/relationships/hyperlink" Target="http://hl7v2-lab-testing.nist.gov/mu-lab/" TargetMode="Externa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67CF7-B6F0-47E7-8A34-43FBF896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4530</Words>
  <Characters>25827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30297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F</dc:creator>
  <cp:lastModifiedBy>F_Hall</cp:lastModifiedBy>
  <cp:revision>8</cp:revision>
  <cp:lastPrinted>2016-06-08T13:30:00Z</cp:lastPrinted>
  <dcterms:created xsi:type="dcterms:W3CDTF">2019-01-10T18:30:00Z</dcterms:created>
  <dcterms:modified xsi:type="dcterms:W3CDTF">2019-01-14T21:58:00Z</dcterms:modified>
</cp:coreProperties>
</file>